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BB01C" w14:textId="77777777" w:rsidR="009D315E" w:rsidRDefault="009A0511">
      <w:pPr>
        <w:pStyle w:val="Identificao"/>
        <w:rPr>
          <w:b/>
        </w:rPr>
      </w:pPr>
      <w:r>
        <w:rPr>
          <w:b/>
        </w:rPr>
        <w:t>A C Ó R D Ã O</w:t>
      </w:r>
    </w:p>
    <w:p w14:paraId="7E1BB01D" w14:textId="77777777" w:rsidR="009D315E" w:rsidRDefault="009A0511">
      <w:pPr>
        <w:pStyle w:val="Identificao"/>
        <w:rPr>
          <w:b/>
        </w:rPr>
      </w:pPr>
      <w:r>
        <w:rPr>
          <w:b/>
        </w:rPr>
        <w:t>5ª Turma</w:t>
      </w:r>
    </w:p>
    <w:p w14:paraId="7E1BB01E" w14:textId="76528E39" w:rsidR="009D315E" w:rsidRDefault="009A0511">
      <w:pPr>
        <w:pStyle w:val="Identificao"/>
        <w:rPr>
          <w:b/>
          <w:u w:val="single"/>
        </w:rPr>
      </w:pPr>
      <w:r>
        <w:rPr>
          <w:b/>
        </w:rPr>
        <w:t xml:space="preserve">GMMAR/ </w:t>
      </w:r>
    </w:p>
    <w:p w14:paraId="7E1BB01F" w14:textId="77777777" w:rsidR="009D315E" w:rsidRDefault="009D315E">
      <w:pPr>
        <w:pStyle w:val="Corpo"/>
      </w:pPr>
    </w:p>
    <w:p w14:paraId="7E1BB020" w14:textId="6D01249F" w:rsidR="009D315E" w:rsidRDefault="009A0511">
      <w:pPr>
        <w:pStyle w:val="Ementa"/>
        <w:outlineLvl w:val="0"/>
        <w:rPr>
          <w:color w:val="auto"/>
        </w:rPr>
      </w:pPr>
      <w:r>
        <w:rPr>
          <w:b/>
        </w:rPr>
        <w:t xml:space="preserve">AGRAVO DE INSTRUMENTO EM RECURSO DE REVISTA. ACÓRDÃO REGIONAL PUBLICADO NA VIGÊNCIA DA LEI </w:t>
      </w:r>
      <w:r>
        <w:rPr>
          <w:b/>
          <w:highlight w:val="yellow"/>
        </w:rPr>
        <w:t>Nº 13.467/2017</w:t>
      </w:r>
      <w:r>
        <w:rPr>
          <w:b/>
        </w:rPr>
        <w:t xml:space="preserve">. EXECUÇÃO. </w:t>
      </w:r>
      <w:r>
        <w:rPr>
          <w:b/>
          <w:highlight w:val="yellow"/>
        </w:rPr>
        <w:t>TEMA</w:t>
      </w:r>
      <w:r>
        <w:rPr>
          <w:b/>
        </w:rPr>
        <w:t>. MATÉRIA COM REGÊNCIA INFRACONSTITUCIONAL. OFENSA REFLEXA À CONSTITUIÇÃO. ÓBICE DO ART. 896, § 2º, DA CLT. TRANSCENDÊNCIA NÃO RECONHECIDA.</w:t>
      </w:r>
      <w:r>
        <w:t xml:space="preserve"> </w:t>
      </w:r>
      <w:r>
        <w:rPr>
          <w:b/>
        </w:rPr>
        <w:t>1.</w:t>
      </w:r>
      <w:r>
        <w:t xml:space="preserve"> Hipótese em que </w:t>
      </w:r>
      <w:r>
        <w:rPr>
          <w:highlight w:val="yellow"/>
        </w:rPr>
        <w:t>XXXXXXXXXXXXX</w:t>
      </w:r>
      <w:r>
        <w:t xml:space="preserve">. </w:t>
      </w:r>
      <w:r>
        <w:rPr>
          <w:b/>
        </w:rPr>
        <w:t>2.</w:t>
      </w:r>
      <w:r>
        <w:t xml:space="preserve"> Do art. 896, § 2º, da CLT, reproduzido na Súmula 266 do TST, extrai-se a imposs</w:t>
      </w:r>
      <w:r>
        <w:t xml:space="preserve">ibilidade de recurso de revista lastreado em violação de preceitos de índole infraconstitucional, contrariedade a súmulas do TST ou divergência jurisprudencial. </w:t>
      </w:r>
      <w:r>
        <w:rPr>
          <w:b/>
        </w:rPr>
        <w:t>3.</w:t>
      </w:r>
      <w:r>
        <w:t xml:space="preserve"> No caso concreto, </w:t>
      </w:r>
      <w:r>
        <w:rPr>
          <w:highlight w:val="yellow"/>
        </w:rPr>
        <w:t>XXXXXXXXXXXXX</w:t>
      </w:r>
      <w:r>
        <w:t xml:space="preserve">. </w:t>
      </w:r>
      <w:r>
        <w:rPr>
          <w:b/>
        </w:rPr>
        <w:t>4.</w:t>
      </w:r>
      <w:r>
        <w:t xml:space="preserve"> Nesse contexto, eventual afronta aos preceitos constituc</w:t>
      </w:r>
      <w:r>
        <w:t xml:space="preserve">ionais, mesmo se verificada, ocorreria apenas pela via reflexa, desautorizando o processamento de recurso de revista em sede de execução. </w:t>
      </w:r>
      <w:r>
        <w:rPr>
          <w:b/>
        </w:rPr>
        <w:t>5.</w:t>
      </w:r>
      <w:r>
        <w:t xml:space="preserve"> Óbice do art. 896, § 2º, da CLT e da Súmula 266 do TST. </w:t>
      </w:r>
      <w:r>
        <w:rPr>
          <w:b/>
        </w:rPr>
        <w:t>Agravo de instrumento conhecido e desprovido</w:t>
      </w:r>
      <w:r>
        <w:t>.</w:t>
      </w:r>
    </w:p>
    <w:p w14:paraId="7E1BB021" w14:textId="77777777" w:rsidR="009D315E" w:rsidRDefault="009D315E">
      <w:pPr>
        <w:pStyle w:val="Corpo"/>
        <w:rPr>
          <w:color w:val="auto"/>
        </w:rPr>
      </w:pPr>
    </w:p>
    <w:p w14:paraId="7E1BB022" w14:textId="77777777" w:rsidR="009D315E" w:rsidRDefault="009D315E">
      <w:pPr>
        <w:pStyle w:val="Corpo"/>
        <w:rPr>
          <w:color w:val="auto"/>
        </w:rPr>
      </w:pPr>
    </w:p>
    <w:p w14:paraId="16439634" w14:textId="77777777" w:rsidR="009D315E" w:rsidRDefault="009A0511">
      <w:pPr>
        <w:pStyle w:val="Relatrio"/>
        <w:rPr>
          <w:color w:val="auto"/>
        </w:rPr>
      </w:pPr>
      <w:r>
        <w:rPr>
          <w:color w:val="auto"/>
        </w:rPr>
        <w:t>Vistos, rel</w:t>
      </w:r>
      <w:r>
        <w:rPr>
          <w:color w:val="auto"/>
        </w:rPr>
        <w:t xml:space="preserve">atados e discutidos estes autos de </w:t>
      </w:r>
      <w:r>
        <w:rPr>
          <w:b/>
          <w:bCs/>
          <w:color w:val="auto"/>
        </w:rPr>
        <w:t>Agravo de Instrumento em Recurso de Revista</w:t>
      </w:r>
      <w:r>
        <w:rPr>
          <w:color w:val="auto"/>
        </w:rPr>
        <w:t xml:space="preserve"> nº TST-</w:t>
      </w:r>
      <w:r>
        <w:rPr>
          <w:b/>
          <w:bCs/>
          <w:color w:val="auto"/>
        </w:rPr>
        <w:t>AIRR - 0013135-89.2023.5.15.0015</w:t>
      </w:r>
      <w:r>
        <w:rPr>
          <w:color w:val="auto"/>
        </w:rPr>
        <w:t>, em que é AGRAVANTE</w:t>
      </w:r>
      <w:r>
        <w:rPr>
          <w:b/>
          <w:bCs/>
          <w:color w:val="auto"/>
        </w:rPr>
        <w:t xml:space="preserve"> MUNICIPIO DE FRANCA</w:t>
      </w:r>
      <w:r>
        <w:rPr>
          <w:color w:val="auto"/>
        </w:rPr>
        <w:t>, são AGRAVADOS</w:t>
      </w:r>
      <w:r>
        <w:rPr>
          <w:b/>
          <w:bCs/>
          <w:color w:val="auto"/>
        </w:rPr>
        <w:t xml:space="preserve"> CLAYTON STAFER DA SILVA</w:t>
      </w:r>
      <w:r>
        <w:rPr>
          <w:color w:val="auto"/>
        </w:rPr>
        <w:t xml:space="preserve"> e</w:t>
      </w:r>
      <w:r>
        <w:rPr>
          <w:b/>
          <w:bCs/>
          <w:color w:val="auto"/>
        </w:rPr>
        <w:t xml:space="preserve"> BARBO SEGURANCA EIRELI - EPP</w:t>
      </w:r>
      <w:r>
        <w:rPr>
          <w:color w:val="auto"/>
        </w:rPr>
        <w:t xml:space="preserve"> e é CUSTOS LEGIS</w:t>
      </w:r>
      <w:r>
        <w:rPr>
          <w:b/>
          <w:bCs/>
          <w:color w:val="auto"/>
        </w:rPr>
        <w:t xml:space="preserve"> MINISTÉRIO</w:t>
      </w:r>
      <w:r>
        <w:rPr>
          <w:b/>
          <w:bCs/>
          <w:color w:val="auto"/>
        </w:rPr>
        <w:t xml:space="preserve"> PÚBLICO DO TRABALHO</w:t>
      </w:r>
      <w:r>
        <w:rPr>
          <w:color w:val="auto"/>
        </w:rPr>
        <w:t>.</w:t>
      </w:r>
    </w:p>
    <w:p w14:paraId="7E1BB024" w14:textId="77777777" w:rsidR="009D315E" w:rsidRDefault="009D315E">
      <w:pPr>
        <w:pStyle w:val="Corpo"/>
        <w:rPr>
          <w:color w:val="auto"/>
        </w:rPr>
      </w:pPr>
    </w:p>
    <w:p w14:paraId="2CB39C17" w14:textId="30C42308" w:rsidR="009D315E" w:rsidRDefault="009A0511">
      <w:pPr>
        <w:pStyle w:val="Corpo"/>
        <w:rPr>
          <w:color w:val="auto"/>
        </w:rPr>
      </w:pPr>
      <w:r>
        <w:rPr>
          <w:color w:val="auto"/>
        </w:rPr>
        <w:t xml:space="preserve">Trata-se de agravo de instrumento interposto contra despacho proferido pelo Tribunal Regional do Trabalho, que denegou seguimento ao recurso de revista. Pretende a parte </w:t>
      </w:r>
      <w:r>
        <w:rPr>
          <w:color w:val="auto"/>
          <w:highlight w:val="yellow"/>
        </w:rPr>
        <w:t>executada</w:t>
      </w:r>
      <w:r>
        <w:rPr>
          <w:color w:val="auto"/>
        </w:rPr>
        <w:t xml:space="preserve"> o destrancamento e regular processamento de seu apelo</w:t>
      </w:r>
      <w:r>
        <w:rPr>
          <w:color w:val="auto"/>
        </w:rPr>
        <w:t>.</w:t>
      </w:r>
    </w:p>
    <w:p w14:paraId="0177F790" w14:textId="77777777" w:rsidR="009D315E" w:rsidRDefault="009A0511">
      <w:pPr>
        <w:pStyle w:val="Corpo"/>
        <w:rPr>
          <w:color w:val="auto"/>
        </w:rPr>
      </w:pPr>
      <w:r>
        <w:rPr>
          <w:color w:val="auto"/>
          <w:highlight w:val="yellow"/>
        </w:rPr>
        <w:t>Apresentada contraminuta.</w:t>
      </w:r>
    </w:p>
    <w:p w14:paraId="7260F8EF" w14:textId="77777777" w:rsidR="009D315E" w:rsidRDefault="009A0511">
      <w:pPr>
        <w:pStyle w:val="Corpo"/>
        <w:rPr>
          <w:color w:val="auto"/>
        </w:rPr>
      </w:pPr>
      <w:r>
        <w:rPr>
          <w:color w:val="auto"/>
          <w:highlight w:val="yellow"/>
        </w:rPr>
        <w:t>Dispensada a remessa dos autos ao Ministério Público do Trabalho, conforme dicção do art. 95 do Regimento Interno do TST.</w:t>
      </w:r>
    </w:p>
    <w:p w14:paraId="7E1BB026" w14:textId="2499865B" w:rsidR="009D315E" w:rsidRDefault="009A0511">
      <w:pPr>
        <w:pStyle w:val="Corpo"/>
        <w:rPr>
          <w:color w:val="auto"/>
        </w:rPr>
      </w:pPr>
      <w:r>
        <w:rPr>
          <w:color w:val="auto"/>
        </w:rPr>
        <w:t>É o relatório.</w:t>
      </w:r>
    </w:p>
    <w:p w14:paraId="7E1BB027" w14:textId="77777777" w:rsidR="009D315E" w:rsidRDefault="009D315E">
      <w:pPr>
        <w:pStyle w:val="Corpo"/>
        <w:rPr>
          <w:color w:val="auto"/>
        </w:rPr>
      </w:pPr>
    </w:p>
    <w:p w14:paraId="7E1BB028" w14:textId="77777777" w:rsidR="009D315E" w:rsidRDefault="009A0511">
      <w:pPr>
        <w:pStyle w:val="Voto"/>
        <w:outlineLvl w:val="0"/>
        <w:rPr>
          <w:b/>
          <w:bCs/>
          <w:color w:val="auto"/>
        </w:rPr>
      </w:pPr>
      <w:r>
        <w:rPr>
          <w:b/>
          <w:bCs/>
          <w:color w:val="auto"/>
          <w:u w:val="single"/>
        </w:rPr>
        <w:t>V</w:t>
      </w:r>
      <w:r>
        <w:rPr>
          <w:b/>
          <w:bCs/>
          <w:color w:val="auto"/>
        </w:rPr>
        <w:t xml:space="preserve"> </w:t>
      </w:r>
      <w:r>
        <w:rPr>
          <w:b/>
          <w:bCs/>
          <w:color w:val="auto"/>
          <w:u w:val="single"/>
        </w:rPr>
        <w:t>O</w:t>
      </w:r>
      <w:r>
        <w:rPr>
          <w:b/>
          <w:bCs/>
          <w:color w:val="auto"/>
        </w:rPr>
        <w:t xml:space="preserve"> </w:t>
      </w:r>
      <w:r>
        <w:rPr>
          <w:b/>
          <w:bCs/>
          <w:color w:val="auto"/>
          <w:u w:val="single"/>
        </w:rPr>
        <w:t>T</w:t>
      </w:r>
      <w:r>
        <w:rPr>
          <w:b/>
          <w:bCs/>
          <w:color w:val="auto"/>
        </w:rPr>
        <w:t xml:space="preserve"> </w:t>
      </w:r>
      <w:r>
        <w:rPr>
          <w:b/>
          <w:bCs/>
          <w:color w:val="auto"/>
          <w:u w:val="single"/>
        </w:rPr>
        <w:t>O</w:t>
      </w:r>
    </w:p>
    <w:p w14:paraId="6F80B8CE" w14:textId="77777777" w:rsidR="009D315E" w:rsidRDefault="009D315E">
      <w:pPr>
        <w:pStyle w:val="Corpo"/>
        <w:rPr>
          <w:highlight w:val="yellow"/>
        </w:rPr>
      </w:pPr>
    </w:p>
    <w:p w14:paraId="158A60BB" w14:textId="77777777" w:rsidR="009D315E" w:rsidRDefault="009A0511">
      <w:pPr>
        <w:pStyle w:val="Corpo"/>
        <w:rPr>
          <w:b/>
        </w:rPr>
      </w:pPr>
      <w:r>
        <w:rPr>
          <w:b/>
        </w:rPr>
        <w:t xml:space="preserve">ADMISSIBILIDADE </w:t>
      </w:r>
    </w:p>
    <w:p w14:paraId="78ADAB2A" w14:textId="77777777" w:rsidR="009D315E" w:rsidRDefault="009A0511">
      <w:pPr>
        <w:pStyle w:val="Corpo"/>
      </w:pPr>
      <w:r>
        <w:t>Presentes os requisitos legais de admissibilidade, conheço do ag</w:t>
      </w:r>
      <w:r>
        <w:t>ravo de instrumento.</w:t>
      </w:r>
    </w:p>
    <w:p w14:paraId="398C642B" w14:textId="77777777" w:rsidR="009D315E" w:rsidRDefault="009D315E">
      <w:pPr>
        <w:pStyle w:val="Corpo"/>
      </w:pPr>
    </w:p>
    <w:p w14:paraId="59EB8D7A" w14:textId="77777777" w:rsidR="009D315E" w:rsidRDefault="009A0511">
      <w:pPr>
        <w:pStyle w:val="Corpo"/>
        <w:rPr>
          <w:b/>
        </w:rPr>
      </w:pPr>
      <w:r>
        <w:rPr>
          <w:b/>
        </w:rPr>
        <w:t xml:space="preserve">MÉRITO </w:t>
      </w:r>
    </w:p>
    <w:p w14:paraId="3367CBFB" w14:textId="6AC455F2" w:rsidR="009D315E" w:rsidRDefault="009A0511">
      <w:pPr>
        <w:pStyle w:val="Corpo"/>
      </w:pPr>
      <w:r>
        <w:t>O Tribunal Regional, no exercício do juízo prévio de admissibilidade, denegou seguimento ao recurso de revista, na esteira dos seguintes fundamentos:</w:t>
      </w:r>
    </w:p>
    <w:p w14:paraId="30093A72" w14:textId="09220A4C" w:rsidR="009D315E" w:rsidRDefault="009D315E">
      <w:pPr>
        <w:pStyle w:val="Corpo"/>
      </w:pPr>
    </w:p>
    <w:p w14:paraId="39E5F819" w14:textId="77777777" w:rsidR="009D315E" w:rsidRDefault="009A0511">
      <w:pPr>
        <w:pStyle w:val="Transcrio"/>
      </w:pPr>
      <w:r>
        <w:t>PRESSUPOSTOS EXTRÍNSECOS</w:t>
      </w:r>
    </w:p>
    <w:p w14:paraId="466B9B31" w14:textId="77777777" w:rsidR="009D315E" w:rsidRDefault="009A0511">
      <w:pPr>
        <w:pStyle w:val="Transcrio"/>
      </w:pPr>
      <w:r>
        <w:t xml:space="preserve">Recurso tempestivo (ciência da decisão em </w:t>
      </w:r>
      <w:r>
        <w:t>25/08/2025 - Id6673827; recurso apresentado em 26/08/2025 - Id 1c56610).</w:t>
      </w:r>
    </w:p>
    <w:p w14:paraId="292D84EA" w14:textId="77777777" w:rsidR="009D315E" w:rsidRDefault="009A0511">
      <w:pPr>
        <w:pStyle w:val="Transcrio"/>
      </w:pPr>
      <w:r>
        <w:t>Regular a representação processual (nos termos daSúmula 436,item I/TST).</w:t>
      </w:r>
    </w:p>
    <w:p w14:paraId="5250BDE1" w14:textId="77777777" w:rsidR="009D315E" w:rsidRDefault="009A0511">
      <w:pPr>
        <w:pStyle w:val="Transcrio"/>
      </w:pPr>
      <w:r>
        <w:t>Isento de preparo (CLT, art. 790-A e DL 779/69, art. 1º, IV).</w:t>
      </w:r>
    </w:p>
    <w:p w14:paraId="7E913567" w14:textId="77777777" w:rsidR="009D315E" w:rsidRDefault="009D315E">
      <w:pPr>
        <w:pStyle w:val="Transcrio"/>
      </w:pPr>
    </w:p>
    <w:p w14:paraId="23BABA5D" w14:textId="77777777" w:rsidR="009D315E" w:rsidRDefault="009A0511">
      <w:pPr>
        <w:pStyle w:val="Transcrio"/>
      </w:pPr>
      <w:r>
        <w:t>PRESSUPOSTOS INTRÍNSECOS</w:t>
      </w:r>
    </w:p>
    <w:p w14:paraId="4D8C44B2" w14:textId="77777777" w:rsidR="009D315E" w:rsidRDefault="009A0511">
      <w:pPr>
        <w:pStyle w:val="Transcrio"/>
      </w:pPr>
      <w:r>
        <w:t xml:space="preserve">Documento </w:t>
      </w:r>
      <w:r>
        <w:t>assinado eletronicamente por HELCIO DANTAS LOBO JUNIOR, em 11/11/2025, às 16:10:53 - 955bc5f</w:t>
      </w:r>
    </w:p>
    <w:p w14:paraId="19344260" w14:textId="77777777" w:rsidR="009D315E" w:rsidRDefault="009A0511">
      <w:pPr>
        <w:pStyle w:val="Transcrio"/>
      </w:pPr>
      <w:r>
        <w:t>1.1 DIREITO INDIVIDUAL DO TRABALHO (12936) /RESPONSABILIDADE SOLIDÁRIA/SUBSIDIÁRIA (14034) / TERCEIRIZAÇÃO/TOMADOR DE SERVIÇOS (14040) / ENTE PÚBLICO</w:t>
      </w:r>
    </w:p>
    <w:p w14:paraId="04E30AF6" w14:textId="77777777" w:rsidR="009D315E" w:rsidRDefault="009A0511">
      <w:pPr>
        <w:pStyle w:val="Transcrio"/>
      </w:pPr>
      <w:r>
        <w:t xml:space="preserve">O v. acórdão </w:t>
      </w:r>
      <w:r>
        <w:t>reconheceu a responsabilidade subsidiária da 2ªreclamada, por constatar que o ente público não fiscalizou suficientemente ocumprimento das obrigações trabalhistas por parte da 1ª reclamada (prestadora deserviços), restando configurada sua culpa "in vigilan</w:t>
      </w:r>
      <w:r>
        <w:t>do".</w:t>
      </w:r>
    </w:p>
    <w:p w14:paraId="152827AE" w14:textId="77777777" w:rsidR="009D315E" w:rsidRDefault="009A0511">
      <w:pPr>
        <w:pStyle w:val="Transcrio"/>
      </w:pPr>
      <w:r>
        <w:t>Quanto à responsabilização subsidiária do ente público, a v.decisão, além de ter se fundamentado nas provas (insuscetíveis de revisão, nos termosda Súmula 126 do Eg. TST), decidiu em conformidade com a Súmula 331, V, do Eg. TST eseguiu a diretriz traç</w:t>
      </w:r>
      <w:r>
        <w:t>ada pelo STF no julgamento do leading case RE 760931, que fixouno TEMA 246 a seguinte tese com repercussão geral: "O inadimplemento dos encargostrabalhistas dos empregados do contratado não transfere automaticamente ao PoderPúblico contratante a responsabi</w:t>
      </w:r>
      <w:r>
        <w:t>lidade pelo seu pagamento, seja em caráter solidárioou subsidiário, nos termos do artigo 71, parágrafo 1o da Lei 8.666/93." (26.4.2017).</w:t>
      </w:r>
    </w:p>
    <w:p w14:paraId="40870D69" w14:textId="77777777" w:rsidR="009D315E" w:rsidRDefault="009A0511">
      <w:pPr>
        <w:pStyle w:val="Transcrio"/>
      </w:pPr>
      <w:r>
        <w:t>Ademais, cumpre destacar os termos das decisões proferidaspelo Plenário do Ex. STF na Rcl nº 11985-AgR/MG, Rel. Min. Ce</w:t>
      </w:r>
      <w:r>
        <w:t>lso de Mello, DJe-050 de15/03/2013 e na Rcl nº 13.760 AgR/SP, Rel. Min. Luiz Fux, DJe-193 de 02/10/2013, nasquais houve o entendimento de que não afronta a decisão proferida na ADC nº 16/DF(declaração de constitucionalidade do art. 71, § 1º, da Lei nº 8.66</w:t>
      </w:r>
      <w:r>
        <w:t>6/93), nem o art. 97 daConstituição Federal, tampouco contraria a Súmula Vinculante 10 do STF, o ato judicialque reconhece a responsabilidade subsidiária da Administração Pública por débitostrabalhistas, quando fundamentada na comprovação da culpa "in vigi</w:t>
      </w:r>
      <w:r>
        <w:t>lando", "ineligendo" ou "in omittendo".</w:t>
      </w:r>
    </w:p>
    <w:p w14:paraId="181A4EC3" w14:textId="77777777" w:rsidR="009D315E" w:rsidRDefault="009A0511">
      <w:pPr>
        <w:pStyle w:val="Transcrio"/>
      </w:pPr>
      <w:r>
        <w:t>Registre-se que a mesma ratio decidendi foi reiterada pelo STFna ADPF 324, que julgou procedente o pedido e firmou tese nos seguintes termos: "1. Élícita a terceirização de toda e qualquer atividade, meio ou fim, não</w:t>
      </w:r>
      <w:r>
        <w:t xml:space="preserve"> se configurandorelação de emprego entre a contratante e o empregado da contratada. 2. Naterceirização, compete à contratante: I) verificar a idoneidade e a capacidadeeconômica da terceirizada; e II) responder subsidiariamente pelo descumprimento dasnormas</w:t>
      </w:r>
      <w:r>
        <w:t xml:space="preserve"> trabalhistas, bem como por obrigações previdenciárias, na forma do art. 31 daLei 8.212/1993".</w:t>
      </w:r>
    </w:p>
    <w:p w14:paraId="444C4B9B" w14:textId="77777777" w:rsidR="009D315E" w:rsidRDefault="009A0511">
      <w:pPr>
        <w:pStyle w:val="Transcrio"/>
      </w:pPr>
      <w:r>
        <w:t>Por fim, cumpre ressaltar que a decisão recorrida não versasobre a questão jurídica delineada pelo Eg. STF no julgamento do RE 1.298.647 (Tema1118), porque não s</w:t>
      </w:r>
      <w:r>
        <w:t>e trata de discussão teórica sobre repartição do ônus da prova,mas da prova efetivamente apreciada.</w:t>
      </w:r>
    </w:p>
    <w:p w14:paraId="3DFD5F10" w14:textId="77777777" w:rsidR="009D315E" w:rsidRDefault="009A0511">
      <w:pPr>
        <w:pStyle w:val="Transcrio"/>
      </w:pPr>
      <w:r>
        <w:t>Documento assinado eletronicamente por HELCIO DANTAS LOBO JUNIOR, em 11/11/2025, às 16:10:53 - 955bc5f</w:t>
      </w:r>
    </w:p>
    <w:p w14:paraId="3C34B5EA" w14:textId="77777777" w:rsidR="009D315E" w:rsidRDefault="009A0511">
      <w:pPr>
        <w:pStyle w:val="Transcrio"/>
      </w:pPr>
      <w:r>
        <w:t>Assim sendo, inviável o apelo, ante o disposto no art</w:t>
      </w:r>
      <w:r>
        <w:t>. 896, § 7º,da CLT e nas Súmulas 126, 331, V, e 333 do Eg. TST.</w:t>
      </w:r>
    </w:p>
    <w:p w14:paraId="4D33A853" w14:textId="77777777" w:rsidR="009D315E" w:rsidRDefault="009D315E">
      <w:pPr>
        <w:pStyle w:val="Transcrio"/>
      </w:pPr>
    </w:p>
    <w:p w14:paraId="51CD5B95" w14:textId="77777777" w:rsidR="009D315E" w:rsidRDefault="009A0511">
      <w:pPr>
        <w:pStyle w:val="Transcrio"/>
      </w:pPr>
      <w:r>
        <w:t>CONCLUSÃO</w:t>
      </w:r>
    </w:p>
    <w:p w14:paraId="4E3F3E64" w14:textId="77777777" w:rsidR="009D315E" w:rsidRDefault="009A0511">
      <w:pPr>
        <w:pStyle w:val="Transcrio"/>
      </w:pPr>
      <w:r>
        <w:t>DENEGO seguimento ao recurso de revista.</w:t>
      </w:r>
    </w:p>
    <w:p w14:paraId="30A6CD23" w14:textId="79F1AFF1" w:rsidR="009D315E" w:rsidRDefault="009D315E">
      <w:pPr>
        <w:pStyle w:val="Corpo"/>
      </w:pPr>
    </w:p>
    <w:p w14:paraId="1AE9CE9C" w14:textId="77777777" w:rsidR="009D315E" w:rsidRDefault="009A0511">
      <w:pPr>
        <w:pStyle w:val="Corpo"/>
      </w:pPr>
      <w:r>
        <w:t xml:space="preserve">O agravo de instrumento não merece ser provido, pelos seguintes motivos: </w:t>
      </w:r>
    </w:p>
    <w:p w14:paraId="16A7F3BE" w14:textId="77777777" w:rsidR="009D315E" w:rsidRDefault="009D315E">
      <w:pPr>
        <w:pStyle w:val="Corpo"/>
      </w:pPr>
    </w:p>
    <w:p w14:paraId="443E74EC" w14:textId="37CE92AE" w:rsidR="009D315E" w:rsidRDefault="009A0511">
      <w:pPr>
        <w:pStyle w:val="Corpo"/>
        <w:rPr>
          <w:b/>
        </w:rPr>
      </w:pPr>
      <w:r>
        <w:rPr>
          <w:b/>
        </w:rPr>
        <w:t xml:space="preserve">EXECUÇÃO. </w:t>
      </w:r>
      <w:r>
        <w:rPr>
          <w:b/>
          <w:highlight w:val="yellow"/>
        </w:rPr>
        <w:t>TEMA</w:t>
      </w:r>
      <w:r>
        <w:rPr>
          <w:b/>
        </w:rPr>
        <w:t xml:space="preserve"> </w:t>
      </w:r>
    </w:p>
    <w:p w14:paraId="0A1875AF" w14:textId="2588A87E" w:rsidR="009D315E" w:rsidRDefault="009A0511">
      <w:pPr>
        <w:pStyle w:val="Corpo"/>
      </w:pPr>
      <w:r>
        <w:t xml:space="preserve">O Tribunal Regional </w:t>
      </w:r>
      <w:r>
        <w:rPr>
          <w:highlight w:val="yellow"/>
        </w:rPr>
        <w:t>negou</w:t>
      </w:r>
      <w:r>
        <w:t xml:space="preserve"> provimento ao agravo d</w:t>
      </w:r>
      <w:r>
        <w:t xml:space="preserve">e petição da </w:t>
      </w:r>
      <w:r>
        <w:rPr>
          <w:highlight w:val="yellow"/>
        </w:rPr>
        <w:t>executada</w:t>
      </w:r>
      <w:r>
        <w:t>, na esteira dos seguintes fundamentos, transcritos pela parte no recurso de revista, nos termos do art. 896, § 1º-A, I, da CLT:</w:t>
      </w:r>
    </w:p>
    <w:p w14:paraId="6767765D" w14:textId="1B2DE74F" w:rsidR="009D315E" w:rsidRDefault="009D315E">
      <w:pPr>
        <w:pStyle w:val="Corpo"/>
      </w:pPr>
    </w:p>
    <w:p w14:paraId="6B49654E" w14:textId="77777777" w:rsidR="009D315E" w:rsidRDefault="009A0511">
      <w:pPr>
        <w:pStyle w:val="Transcrio"/>
      </w:pPr>
      <w:r>
        <w:t>PODER JUDICIÁRIO JUSTIÇA DO TRABALHO TRIBUNAL REGIONAL DO TRABALHO DA 15ª REGIÃO Identificação</w:t>
      </w:r>
    </w:p>
    <w:p w14:paraId="79C05F83" w14:textId="77777777" w:rsidR="009D315E" w:rsidRDefault="009A0511">
      <w:pPr>
        <w:pStyle w:val="Transcrio"/>
      </w:pPr>
      <w:r>
        <w:t>11ª CÂMAR</w:t>
      </w:r>
      <w:r>
        <w:t>A - 6ª TURMA</w:t>
      </w:r>
    </w:p>
    <w:p w14:paraId="641D204B" w14:textId="77777777" w:rsidR="009D315E" w:rsidRDefault="009A0511">
      <w:pPr>
        <w:pStyle w:val="Transcrio"/>
      </w:pPr>
      <w:r>
        <w:t>PROC. TRT/15ª REGIÃO Nº 0013135-89.2023.5.15.0015</w:t>
      </w:r>
    </w:p>
    <w:p w14:paraId="4C6CD941" w14:textId="77777777" w:rsidR="009D315E" w:rsidRDefault="009A0511">
      <w:pPr>
        <w:pStyle w:val="Transcrio"/>
      </w:pPr>
      <w:r>
        <w:t>RECURSO ORDINÁRIO</w:t>
      </w:r>
    </w:p>
    <w:p w14:paraId="06D75DB2" w14:textId="77777777" w:rsidR="009D315E" w:rsidRDefault="009A0511">
      <w:pPr>
        <w:pStyle w:val="Transcrio"/>
      </w:pPr>
      <w:r>
        <w:t>1º RECORRENTE: MUNICÍPIO DE FRANCA</w:t>
      </w:r>
    </w:p>
    <w:p w14:paraId="0F32294B" w14:textId="77777777" w:rsidR="009D315E" w:rsidRDefault="009A0511">
      <w:pPr>
        <w:pStyle w:val="Transcrio"/>
      </w:pPr>
      <w:r>
        <w:t>2º RECORRENTE: BARBO SEGURANCA EIRELI - EPP</w:t>
      </w:r>
    </w:p>
    <w:p w14:paraId="1266DB7F" w14:textId="77777777" w:rsidR="009D315E" w:rsidRDefault="009A0511">
      <w:pPr>
        <w:pStyle w:val="Transcrio"/>
      </w:pPr>
      <w:r>
        <w:t>RECORRIDO: CLAYTON STAFER DA SILVA</w:t>
      </w:r>
    </w:p>
    <w:p w14:paraId="0EFF41ED" w14:textId="77777777" w:rsidR="009D315E" w:rsidRDefault="009A0511">
      <w:pPr>
        <w:pStyle w:val="Transcrio"/>
      </w:pPr>
      <w:r>
        <w:t>ORIGEM: 1ª VARA DO TRABALHO DE FRANCA</w:t>
      </w:r>
    </w:p>
    <w:p w14:paraId="7190C9B5" w14:textId="77777777" w:rsidR="009D315E" w:rsidRDefault="009A0511">
      <w:pPr>
        <w:pStyle w:val="Transcrio"/>
      </w:pPr>
      <w:r>
        <w:t>JUIZ SENTENCIANTE: EDUA</w:t>
      </w:r>
      <w:r>
        <w:t>RDO SOUZA BRAGAEmenta</w:t>
      </w:r>
    </w:p>
    <w:p w14:paraId="5A970FD3" w14:textId="77777777" w:rsidR="009D315E" w:rsidRDefault="009A0511">
      <w:pPr>
        <w:pStyle w:val="Transcrio"/>
      </w:pPr>
      <w:r>
        <w:t>Relatório</w:t>
      </w:r>
    </w:p>
    <w:p w14:paraId="70470138" w14:textId="77777777" w:rsidR="009D315E" w:rsidRDefault="009A0511">
      <w:pPr>
        <w:pStyle w:val="Transcrio"/>
      </w:pPr>
      <w:r>
        <w:t>Trata-se de recursos ordinários interpostos, respectivamente, pelo segundo,MUNICÍPIO DE FRANCA, e pelo prmeiro, BARBO SEGURANCA EIRELI - EPP, reclamados, contra a r. sentença de ID. 533aad7, que julgou procedentes em parte o</w:t>
      </w:r>
      <w:r>
        <w:t>s pedidos.</w:t>
      </w:r>
    </w:p>
    <w:p w14:paraId="6F06ACF0" w14:textId="77777777" w:rsidR="009D315E" w:rsidRDefault="009A0511">
      <w:pPr>
        <w:pStyle w:val="Transcrio"/>
      </w:pPr>
      <w:r>
        <w:t>O 2º Réu, com as razões de ID. da0efeb, em que aduz, preliminarmente pela ilegitimidade passiva e, no mérito, pugna por reforma do julgado, requerendo o afastamento da responsabilidade subsidiária atribuída a si. Prequestiona a matéria.</w:t>
      </w:r>
    </w:p>
    <w:p w14:paraId="6E256D18" w14:textId="77777777" w:rsidR="009D315E" w:rsidRDefault="009A0511">
      <w:pPr>
        <w:pStyle w:val="Transcrio"/>
      </w:pPr>
      <w:r>
        <w:t xml:space="preserve">É </w:t>
      </w:r>
      <w:r>
        <w:t>isento do recolhimento das custas processuais, nos termos do inciso I do art. 790-A da CLT e dispensada do depósito recursal, conforme inciso IV do art. 1º do Decreto-Lei n.º 779/69.</w:t>
      </w:r>
    </w:p>
    <w:p w14:paraId="2CD71FF1" w14:textId="77777777" w:rsidR="009D315E" w:rsidRDefault="009A0511">
      <w:pPr>
        <w:pStyle w:val="Transcrio"/>
      </w:pPr>
      <w:r>
        <w:t>A primeira ré, sob fundamentos de ID. 72e79a3, objetiva a alteração da r.</w:t>
      </w:r>
      <w:r>
        <w:t xml:space="preserve"> sentença quanto às horas extras, danos morais e honorários sucumbenciais.</w:t>
      </w:r>
    </w:p>
    <w:p w14:paraId="53F11B85" w14:textId="77777777" w:rsidR="009D315E" w:rsidRDefault="009A0511">
      <w:pPr>
        <w:pStyle w:val="Transcrio"/>
      </w:pPr>
      <w:r>
        <w:t>Recolhida as custas e depósito recursal (ID´s. 24409e8 e c641fca).</w:t>
      </w:r>
    </w:p>
    <w:p w14:paraId="63B99548" w14:textId="77777777" w:rsidR="009D315E" w:rsidRDefault="009A0511">
      <w:pPr>
        <w:pStyle w:val="Transcrio"/>
      </w:pPr>
      <w:r>
        <w:t>Contrarrazões (ID´s. 0c3533e e 053cb0d).</w:t>
      </w:r>
    </w:p>
    <w:p w14:paraId="61A0CE6F" w14:textId="77777777" w:rsidR="009D315E" w:rsidRDefault="009A0511">
      <w:pPr>
        <w:pStyle w:val="Transcrio"/>
      </w:pPr>
      <w:r>
        <w:t xml:space="preserve">Regular representação processual (ID´s. cb7b341, 628ce76 e Súmula 436 do </w:t>
      </w:r>
      <w:r>
        <w:t>C. TST).</w:t>
      </w:r>
    </w:p>
    <w:p w14:paraId="711C6C03" w14:textId="77777777" w:rsidR="009D315E" w:rsidRDefault="009A0511">
      <w:pPr>
        <w:pStyle w:val="Transcrio"/>
      </w:pPr>
      <w:r>
        <w:t>Dispensada a remessa do processo ao Ministério Público do Trabalho, nos termos do Ofício nº 757.2023-GPC/PRT-15ª, PGEA 20.02.100.0000490/2022-81, da Procuradoria Regional do Trabalho da 15ª Região.</w:t>
      </w:r>
    </w:p>
    <w:p w14:paraId="6A689A4F" w14:textId="77777777" w:rsidR="009D315E" w:rsidRDefault="009A0511">
      <w:pPr>
        <w:pStyle w:val="Transcrio"/>
      </w:pPr>
      <w:r>
        <w:t>É o relatório.Fundamentação</w:t>
      </w:r>
    </w:p>
    <w:p w14:paraId="49F4C634" w14:textId="77777777" w:rsidR="009D315E" w:rsidRDefault="009A0511">
      <w:pPr>
        <w:pStyle w:val="Transcrio"/>
      </w:pPr>
      <w:r>
        <w:t>VOTO</w:t>
      </w:r>
    </w:p>
    <w:p w14:paraId="4E649C3F" w14:textId="77777777" w:rsidR="009D315E" w:rsidRDefault="009A0511">
      <w:pPr>
        <w:pStyle w:val="Transcrio"/>
      </w:pPr>
      <w:r>
        <w:t>Deixo de avocar,</w:t>
      </w:r>
      <w:r>
        <w:t xml:space="preserve"> de ofício, a remessa necessária, porque, embora ilíquida a condenação, as circunstâncias fáticas narradas nos autos e o teor da r. sentença autorizam concluir que o valor arbitrado à condenação, no importe de R$ 5.000,00, é consentâneo com a expressão eco</w:t>
      </w:r>
      <w:r>
        <w:t>nômica dos pedidos acolhidos, não detendo potencial, ainda que remoto, de superar o teto legal vigente à época da condenação, na forma do §3º do art. 496 do CPC/15 e na Súmula n.º 303, I, "a", do TST, sendo inaplicável a Súmula n.º 490 do STJ.</w:t>
      </w:r>
    </w:p>
    <w:p w14:paraId="04CAF12F" w14:textId="77777777" w:rsidR="009D315E" w:rsidRDefault="009A0511">
      <w:pPr>
        <w:pStyle w:val="Transcrio"/>
      </w:pPr>
      <w:r>
        <w:t>Presentes os</w:t>
      </w:r>
      <w:r>
        <w:t xml:space="preserve"> pressupostos extrínsecos e intrínsecos de admissibilidade, conheço dos recursos, que serão apreciados em conjunto quanto às matérias similares.</w:t>
      </w:r>
    </w:p>
    <w:p w14:paraId="789358CF" w14:textId="77777777" w:rsidR="009D315E" w:rsidRDefault="009A0511">
      <w:pPr>
        <w:pStyle w:val="Transcrio"/>
      </w:pPr>
      <w:r>
        <w:t>DO RECURSO ORDINÁRIO DO 2º RECLAMADO</w:t>
      </w:r>
    </w:p>
    <w:p w14:paraId="47C2FB01" w14:textId="77777777" w:rsidR="009D315E" w:rsidRDefault="009A0511">
      <w:pPr>
        <w:pStyle w:val="Transcrio"/>
      </w:pPr>
      <w:r>
        <w:t>PRELIMINAR</w:t>
      </w:r>
    </w:p>
    <w:p w14:paraId="1E242E4E" w14:textId="77777777" w:rsidR="009D315E" w:rsidRDefault="009A0511">
      <w:pPr>
        <w:pStyle w:val="Transcrio"/>
      </w:pPr>
      <w:r>
        <w:t>DA ILEGITIMIDADE PASSIVA</w:t>
      </w:r>
    </w:p>
    <w:p w14:paraId="6D11311D" w14:textId="77777777" w:rsidR="009D315E" w:rsidRDefault="009A0511">
      <w:pPr>
        <w:pStyle w:val="Transcrio"/>
      </w:pPr>
      <w:r>
        <w:t xml:space="preserve">Equivoca-se, o recorrente, ao </w:t>
      </w:r>
      <w:r>
        <w:t>suscitar preliminar de ilegitimidade passiva ad causam, uma vez que a legitimidade das partes diz respeito à pertinência subjetiva da ação, de sorte que, apontada como devedor subsidiário pelas obrigações postuladas judicialmente, deve o segundo réu perman</w:t>
      </w:r>
      <w:r>
        <w:t>ecer no polo passivo para responder à presente reclamação. Apenas com a análise de mérito, será dirimida a existência, ou não, de sua responsabilidade por eventuais créditos deferidos ao trabalhador. Assim sendo, rejeita-se a preliminar.</w:t>
      </w:r>
    </w:p>
    <w:p w14:paraId="47960A04" w14:textId="77777777" w:rsidR="009D315E" w:rsidRDefault="009A0511">
      <w:pPr>
        <w:pStyle w:val="Transcrio"/>
      </w:pPr>
      <w:r>
        <w:t>MÉRITO</w:t>
      </w:r>
    </w:p>
    <w:p w14:paraId="620B0541" w14:textId="77777777" w:rsidR="009D315E" w:rsidRDefault="009A0511">
      <w:pPr>
        <w:pStyle w:val="Transcrio"/>
      </w:pPr>
      <w:r>
        <w:t>DA RESPONSA</w:t>
      </w:r>
      <w:r>
        <w:t>BILIDADE SUBSIDIÁRIA</w:t>
      </w:r>
    </w:p>
    <w:p w14:paraId="5BD58B98" w14:textId="77777777" w:rsidR="009D315E" w:rsidRDefault="009A0511">
      <w:pPr>
        <w:pStyle w:val="Transcrio"/>
      </w:pPr>
      <w:r>
        <w:t>O 2º réu impugna a responsabilização subsidiária que lhe foi atribuída, por não possuir nenhuma relação com o obreiro. Alega que, em observância ao pacta sunt servanda incumbe à 1ª reclamada responder por todos os débitos e que fiscali</w:t>
      </w:r>
      <w:r>
        <w:t>zou o contrato exigindo todas as certidões da empresa, havendo um check list do cumprimento das obrigações trabalhistas, conforme prova oral produzida. Diz que verifica vários documentos entregues, mas não lhe é possível fiscalizar empregado a empregado, v</w:t>
      </w:r>
      <w:r>
        <w:t>erba a verba, diante da quantidade deles e até porque são várias inclusive as empresas que lhe prestam serviços, devendo bastar, como ressaltou o STF, a fiscalização por amostragem. Traz questões acerca da ADPF 324, RE 958252, ADC 16. Sustenta que não pode</w:t>
      </w:r>
      <w:r>
        <w:t xml:space="preserve"> ser responsabilizado, ainda que subsidiariamente, consoante Súmula 374 do TST; bem como pela PLR, porque não participou da negociação; multa do art. 467 da CLT, a teor de seu parágrafo único; bem como por multa do art. 477 da CLT, vale alimentação e cesta</w:t>
      </w:r>
      <w:r>
        <w:t>s básicas.</w:t>
      </w:r>
    </w:p>
    <w:p w14:paraId="2A591F29" w14:textId="77777777" w:rsidR="009D315E" w:rsidRDefault="009A0511">
      <w:pPr>
        <w:pStyle w:val="Transcrio"/>
      </w:pPr>
      <w:r>
        <w:t>Vejamos.</w:t>
      </w:r>
    </w:p>
    <w:p w14:paraId="380D32AC" w14:textId="77777777" w:rsidR="009D315E" w:rsidRDefault="009A0511">
      <w:pPr>
        <w:pStyle w:val="Transcrio"/>
      </w:pPr>
      <w:r>
        <w:t xml:space="preserve">No caso vertente, a relação jurídica entre o 2º reclamado (Município) e a primeira reclamada decorreu da celebração de contrato de que não foi, sequer, jungido aos autos, restando incontroverso, no entanto, que o obreiro, admitido pela </w:t>
      </w:r>
      <w:r>
        <w:t>primeira reclamada como vigilante (V. CTPS - ID. af925e3) e que trabalhou em benefício do 2ª réu.</w:t>
      </w:r>
    </w:p>
    <w:p w14:paraId="6D5DD4F6" w14:textId="77777777" w:rsidR="009D315E" w:rsidRDefault="009A0511">
      <w:pPr>
        <w:pStyle w:val="Transcrio"/>
      </w:pPr>
      <w:r>
        <w:t>O Supremo Tribunal Federal por ocasião do julgamento da ADC 16/DF, deixou claro que não há impedimento para o reconhecimento da responsabilidade da Administra</w:t>
      </w:r>
      <w:r>
        <w:t>ção Pública, tomadora de serviços, desde que comprovada a sua omissão na fiscalização do cumprimento das obrigações trabalhistas pela prestadora em relação aos empregados desta.</w:t>
      </w:r>
    </w:p>
    <w:p w14:paraId="43BFD176" w14:textId="77777777" w:rsidR="009D315E" w:rsidRDefault="009A0511">
      <w:pPr>
        <w:pStyle w:val="Transcrio"/>
      </w:pPr>
      <w:r>
        <w:t>Por tal motivo, a redação da Súmula 331 do C. TST foi alterada com acréscimo d</w:t>
      </w:r>
      <w:r>
        <w:t>o inciso V:</w:t>
      </w:r>
    </w:p>
    <w:p w14:paraId="30D36B84" w14:textId="77777777" w:rsidR="009D315E" w:rsidRDefault="009A0511">
      <w:pPr>
        <w:pStyle w:val="Transcrio"/>
      </w:pPr>
      <w:r>
        <w:t>"V - Os entes integrantes da Administração Pública direta e indireta respondem subsidiariamente, nas mesmas condições do item IV, caso evidenciada a sua conduta culposa no cumprimento das obrigações da Lei n.º 8.666, de 21.06.1993, especialment</w:t>
      </w:r>
      <w:r>
        <w:t>e na fiscalização do cumprimento das obrigações contratuais e legais da prestadora de serviço como empregadora. A aludida responsabilidade não decorre de mero inadimplemento das obrigações trabalhistas assumidas pela empresa regularmente contratada.(...)"</w:t>
      </w:r>
    </w:p>
    <w:p w14:paraId="39D08404" w14:textId="77777777" w:rsidR="009D315E" w:rsidRDefault="009A0511">
      <w:pPr>
        <w:pStyle w:val="Transcrio"/>
      </w:pPr>
      <w:r>
        <w:t>Posteriormente, quando do julgamento do Recurso Extraordinário 760931/DF, o Plenário do STF confirmou o entendimento adotado na ADC-16, que veda a responsabilização automática do ente público, o qual apenas poderá ser responsabilizado se houver prova inequ</w:t>
      </w:r>
      <w:r>
        <w:t>ívoca da conduta omissiva ou comissiva na fiscalização dos contratos (Tema 246, de repercussão geral).</w:t>
      </w:r>
    </w:p>
    <w:p w14:paraId="0F6557DC" w14:textId="77777777" w:rsidR="009D315E" w:rsidRDefault="009A0511">
      <w:pPr>
        <w:pStyle w:val="Transcrio"/>
      </w:pPr>
      <w:r>
        <w:t>Nesse contexto, o reconhecimento da responsabilidade subsidiária do Ente Público pelos créditos trabalhistas inadimplidos pela contratada não implica afr</w:t>
      </w:r>
      <w:r>
        <w:t>onta ao artigo 97 da Constituição da República, contrariedade à Súmula Vinculante nº 10 do STF ou à decisão prolatada na ADC nº 16. Isso porque não resulta na declaração, via transversa, de inconstitucionalidade do artigo 71, § 1º, da Lei 8.666/1993.</w:t>
      </w:r>
    </w:p>
    <w:p w14:paraId="3DE8548F" w14:textId="77777777" w:rsidR="009D315E" w:rsidRDefault="009A0511">
      <w:pPr>
        <w:pStyle w:val="Transcrio"/>
      </w:pPr>
      <w:r>
        <w:t>Ressa</w:t>
      </w:r>
      <w:r>
        <w:t>lte-se, que a própria Lei nº 14.133/21, determina a responsabilização subsidiária da Administração Pública pelos encargos trabalhistas, nas contratações de serviços contínuos com regime de dedicação exclusiva de mão de obra, se comprovada falha na fiscaliz</w:t>
      </w:r>
      <w:r>
        <w:t>ação do cumprimento das obrigações do contratado (art. 121, §2º).</w:t>
      </w:r>
    </w:p>
    <w:p w14:paraId="1500D049" w14:textId="77777777" w:rsidR="009D315E" w:rsidRDefault="009A0511">
      <w:pPr>
        <w:pStyle w:val="Transcrio"/>
      </w:pPr>
      <w:r>
        <w:t xml:space="preserve">Em sede de embargos de declaração, ao rejeitar a solução proposta pelo Relator, o E. STF deixou claro que não fixou tese quanto à definição do ônus da prova referente à efetiva fiscalização </w:t>
      </w:r>
      <w:r>
        <w:t>do cumprimento das obrigações decorrentes do contrato de trabalho, por se tratar de matéria infraconstitucional.</w:t>
      </w:r>
    </w:p>
    <w:p w14:paraId="5B434E4B" w14:textId="77777777" w:rsidR="009D315E" w:rsidRDefault="009A0511">
      <w:pPr>
        <w:pStyle w:val="Transcrio"/>
      </w:pPr>
      <w:r>
        <w:t>Nesse contexto, a SBDI-1 do C. TST, no julgamento dos TST E-RR 925-07.2016.5.05.0281, assentou que caberia a esta Justiça Especializada resolve</w:t>
      </w:r>
      <w:r>
        <w:t xml:space="preserve">r a aludida questão jurídica e definiu ser do tomador o encargo de demonstrar que fiscalizou de forma adequada o contrato de prestação de serviços, o que inclui tanto o cumprimento do objeto principal como o das obrigações daí advindas, como a de quitação </w:t>
      </w:r>
      <w:r>
        <w:t>dos encargos trabalhistas dos trabalhadores contratados pela empresa.</w:t>
      </w:r>
    </w:p>
    <w:p w14:paraId="401F81EA" w14:textId="77777777" w:rsidR="009D315E" w:rsidRDefault="009A0511">
      <w:pPr>
        <w:pStyle w:val="Transcrio"/>
      </w:pPr>
      <w:r>
        <w:t xml:space="preserve">Todavia, em 2025, a Suprema Corte manifestou-se sobre o ônus da prova acerca de eventual conduta culposa na fiscalização das obrigações trabalhistas de prestadora de serviços, para fins </w:t>
      </w:r>
      <w:r>
        <w:t>de responsabilização subsidiária da Administração Pública, tendo fixado as seguintes teses:</w:t>
      </w:r>
    </w:p>
    <w:p w14:paraId="13C7D2B7" w14:textId="77777777" w:rsidR="009D315E" w:rsidRDefault="009A0511">
      <w:pPr>
        <w:pStyle w:val="Transcrio"/>
      </w:pPr>
      <w:r>
        <w:t xml:space="preserve">1. Não há responsabilidade subsidiária da Administração Pública por encargos trabalhistas gerados pelo inadimplemento de empresa prestadora de serviços </w:t>
      </w:r>
      <w:r>
        <w:t>contratada, se amparada exclusivamente na premissa da inversão do ônus da prova, remanescendo imprescindível a comprovação, pela parte autora, da efetiva existência de comportamento negligente ou nexo de causalidade entre o dano por ela invocado e a condut</w:t>
      </w:r>
      <w:r>
        <w:t>a comissiva ou omissiva do poder público.</w:t>
      </w:r>
    </w:p>
    <w:p w14:paraId="73EB6EC0" w14:textId="77777777" w:rsidR="009D315E" w:rsidRDefault="009A0511">
      <w:pPr>
        <w:pStyle w:val="Transcrio"/>
      </w:pPr>
      <w:r>
        <w:t xml:space="preserve">2. Haverá comportamento negligente quando a Administração Pública permanecer inerte após o recebimento de notificação formal de que a empresa contratada está descumprindo suas obrigações trabalhistas, enviada pelo </w:t>
      </w:r>
      <w:r>
        <w:t>trabalhador, sindicato, Ministério do Trabalho, Ministério Público, Defensoria Pública ou outro meio idôneo.</w:t>
      </w:r>
    </w:p>
    <w:p w14:paraId="2A04A567" w14:textId="77777777" w:rsidR="009D315E" w:rsidRDefault="009A0511">
      <w:pPr>
        <w:pStyle w:val="Transcrio"/>
      </w:pPr>
      <w:r>
        <w:t>3. Constitui responsabilidade da Administração Pública garantir as condições de segurança, higiene e salubridade dos trabalhadores, quando o trabal</w:t>
      </w:r>
      <w:r>
        <w:t>ho for realizado em suas dependências ou local previamente convencionado em contrato, nos termos do art. 5º-A, § 3º, da Lei nº 6.019/1974.</w:t>
      </w:r>
    </w:p>
    <w:p w14:paraId="0F4A1865" w14:textId="77777777" w:rsidR="009D315E" w:rsidRDefault="009A0511">
      <w:pPr>
        <w:pStyle w:val="Transcrio"/>
      </w:pPr>
      <w:r>
        <w:t xml:space="preserve">4. Nos contratos de terceirização, a Administração Pública deverá: (i) exigir da contratada a comprovação de capital </w:t>
      </w:r>
      <w:r>
        <w:t xml:space="preserve">social integralizado compatível com o número de empregados, na forma do art. 4º-B da Lei nº 6.019/1974; e (ii) adotar medidas para assegurar o cumprimento das obrigações trabalhistas pela contratada, na forma do art. 121, § 3º, da Lei nº 14.133/2021, tais </w:t>
      </w:r>
      <w:r>
        <w:t>como condicionar o pagamento à comprovação de quitação das obrigações trabalhistas do mês anterior. (RE 1298647; Relator Ministro Nunes Marques; Plenário, 13.2.2025).</w:t>
      </w:r>
    </w:p>
    <w:p w14:paraId="2896821B" w14:textId="77777777" w:rsidR="009D315E" w:rsidRDefault="009A0511">
      <w:pPr>
        <w:pStyle w:val="Transcrio"/>
      </w:pPr>
      <w:r>
        <w:t>Diante desse julgamento, de observância obrigatória, e por disciplina judiciária, passo a</w:t>
      </w:r>
      <w:r>
        <w:t xml:space="preserve"> decidir à luz do entendimento do STF, acima transcrito.</w:t>
      </w:r>
    </w:p>
    <w:p w14:paraId="310A0E1E" w14:textId="77777777" w:rsidR="009D315E" w:rsidRDefault="009A0511">
      <w:pPr>
        <w:pStyle w:val="Transcrio"/>
      </w:pPr>
      <w:r>
        <w:t xml:space="preserve">No caso dos autos, ainda que afirme o tomador que cumpriu sua obrigação fiscalizatória, restou evidente a negligência do segundo reclamado (item 4 do Tema 1118/STF), uma vez que a primeira reclamada </w:t>
      </w:r>
      <w:r>
        <w:t>não quitou as verbas rescisórias e o reclamante, embora adotado o regime 12x36, se ativou em folgas por cerca de 30 dias seguidos, dentro dos 45 dias laborados, e não gozou um dia sequer do intervalo intrajornada, sem que o recorrente adotasse quaisquer me</w:t>
      </w:r>
      <w:r>
        <w:t>didas necessárias ao cumprimento das obrigações trabalhistas pela contratada.</w:t>
      </w:r>
    </w:p>
    <w:p w14:paraId="69CC533D" w14:textId="77777777" w:rsidR="009D315E" w:rsidRDefault="009A0511">
      <w:pPr>
        <w:pStyle w:val="Transcrio"/>
      </w:pPr>
      <w:r>
        <w:t>Relevante pontuar, que corrobora, inclusive, a conclusão de ausência de efetiva fiscalização, a juntada, pelo contratante apenas de documentos genéricos, tais como folhas de paga</w:t>
      </w:r>
      <w:r>
        <w:t>mento e comprovantes de recolhimentos previdenciários e fundiários, os quais, aliás, nem mesmo se referem ao período contratual, pois são de 2021 e 2022, enquanto a prestação de serviços pelo obreiro foi no segundo semestre de 2023.</w:t>
      </w:r>
    </w:p>
    <w:p w14:paraId="5EA229CB" w14:textId="77777777" w:rsidR="009D315E" w:rsidRDefault="009A0511">
      <w:pPr>
        <w:pStyle w:val="Transcrio"/>
      </w:pPr>
      <w:r>
        <w:t>Ademais, há de se desta</w:t>
      </w:r>
      <w:r>
        <w:t>car que a violação legal ocorreu no próprio ambiente da tomadora de serviços, que certamente teve, em algum momento, a possibilidade de tomar ciência das irregularidades.</w:t>
      </w:r>
    </w:p>
    <w:p w14:paraId="0E2A3A66" w14:textId="77777777" w:rsidR="009D315E" w:rsidRDefault="009A0511">
      <w:pPr>
        <w:pStyle w:val="Transcrio"/>
      </w:pPr>
      <w:r>
        <w:t>Dessa forma, porquanto inequívoco que o segundo reclamado foi beneficiário da força d</w:t>
      </w:r>
      <w:r>
        <w:t>e trabalho do reclamante, tendo atuado com negligência por omissão, forçosa a manutenção de sua responsabilização por todas as verbas condenatórias, nos termos do quanto decidido no Tema 1.118 do E. STF, não se tratando, no caso, de transferência automátic</w:t>
      </w:r>
      <w:r>
        <w:t>a, decorrente do mero inadimplemento da contratada, mas, sim, de efetiva omissão de seu poder-dever de fiscalizar o cumprimento das obrigações contratuais trabalhistas, pelo que patente sua culpa in vigilando.</w:t>
      </w:r>
    </w:p>
    <w:p w14:paraId="050F12E1" w14:textId="77777777" w:rsidR="009D315E" w:rsidRDefault="009A0511">
      <w:pPr>
        <w:pStyle w:val="Transcrio"/>
      </w:pPr>
      <w:r>
        <w:t>Apelo não provido.</w:t>
      </w:r>
    </w:p>
    <w:p w14:paraId="2E540194" w14:textId="77777777" w:rsidR="009D315E" w:rsidRDefault="009A0511">
      <w:pPr>
        <w:pStyle w:val="Transcrio"/>
      </w:pPr>
      <w:r>
        <w:t>DO APELO DA 1ª RÉ</w:t>
      </w:r>
    </w:p>
    <w:p w14:paraId="67CD5B50" w14:textId="77777777" w:rsidR="009D315E" w:rsidRDefault="009A0511">
      <w:pPr>
        <w:pStyle w:val="Transcrio"/>
      </w:pPr>
      <w:r>
        <w:t>DAS HORAS</w:t>
      </w:r>
      <w:r>
        <w:t xml:space="preserve"> EXTRAS</w:t>
      </w:r>
    </w:p>
    <w:p w14:paraId="4C34F004" w14:textId="77777777" w:rsidR="009D315E" w:rsidRDefault="009A0511">
      <w:pPr>
        <w:pStyle w:val="Transcrio"/>
      </w:pPr>
      <w:r>
        <w:t>O recorrente alega, em suma, que não restou comprovado o labor ininterrupto por 30 dias, mas, sim, em escala 12 x 36, das 18 às 6h, não havendo também provas robustas acerca ausência de intervalo intrajornada no período supra, a qual, por si só, nã</w:t>
      </w:r>
      <w:r>
        <w:t>o descaracteriza o regime adotado, pelo que deve ser afastada a jornada fixada em origem, até porque a testemunha obreira não soube esclarecer sobre folgas trabalhadas e não manteve, tampouco, contato diário com o trabalhador. Impugna, ainda, o labor em do</w:t>
      </w:r>
      <w:r>
        <w:t>mingos e folgas e o respeito ao princípio da distribuição do ônus da prova.</w:t>
      </w:r>
    </w:p>
    <w:p w14:paraId="25E8AF22" w14:textId="77777777" w:rsidR="009D315E" w:rsidRDefault="009A0511">
      <w:pPr>
        <w:pStyle w:val="Transcrio"/>
      </w:pPr>
      <w:r>
        <w:t>O autor laborou de 22/6 a 5/8/23, segundo aduziu, em todos os dias das 18 às 6h, sem intervalo intrajornada, como vigia em um dia no prédio na UNESP e no dia seguinte na Escola Mun</w:t>
      </w:r>
      <w:r>
        <w:t>icipal Rubens Zinzispen. Requereu o pagamento de 1h diária referente à supressão do período intervalar, totalizando 18 horas em junho/23, 26h em julho/23 e 2 horas em agos/23, com reflexos em RSR, 13º salário, férias acrescidas do terço constitucional, FGT</w:t>
      </w:r>
      <w:r>
        <w:t>S e multa fundiária.</w:t>
      </w:r>
    </w:p>
    <w:p w14:paraId="6A93717B" w14:textId="77777777" w:rsidR="009D315E" w:rsidRDefault="009A0511">
      <w:pPr>
        <w:pStyle w:val="Transcrio"/>
      </w:pPr>
      <w:r>
        <w:t xml:space="preserve">A origem, com base na prova oral produzida, reconheceu o labor das 18 às 6h e sem intervalo intrajornada nos primeiros 30 dias (confissão em depoimento pessoal) e em regime 12x36 no restante do período do contrato, por entender frágil </w:t>
      </w:r>
      <w:r>
        <w:t>o depoimento da testemunha da ré, na medida em que era supervisor e pouco comparecia ao local de trabalho, lá permanecendo por apenas 5 a 10 minutos.</w:t>
      </w:r>
    </w:p>
    <w:p w14:paraId="35757C7C" w14:textId="77777777" w:rsidR="009D315E" w:rsidRDefault="009A0511">
      <w:pPr>
        <w:pStyle w:val="Transcrio"/>
      </w:pPr>
      <w:r>
        <w:t>Vejamos.</w:t>
      </w:r>
    </w:p>
    <w:p w14:paraId="77358419" w14:textId="77777777" w:rsidR="009D315E" w:rsidRDefault="009A0511">
      <w:pPr>
        <w:pStyle w:val="Transcrio"/>
      </w:pPr>
      <w:r>
        <w:t>Em depoimento pessoal, o reclamante disse ter trabalhado em 3 locais, na UNESP, estação da Cometa</w:t>
      </w:r>
      <w:r>
        <w:t xml:space="preserve"> e em uma escola estadual cujo nome não se recordava, permanecendo por um mês laborando na UNESP e na escola de forma intercalada, onde a folga na primeira permitia o labor na segunda, sem que, contudo, tenha recebido por este.</w:t>
      </w:r>
    </w:p>
    <w:p w14:paraId="5B19B83A" w14:textId="77777777" w:rsidR="009D315E" w:rsidRDefault="009A0511">
      <w:pPr>
        <w:pStyle w:val="Transcrio"/>
      </w:pPr>
      <w:r>
        <w:t>O preposto da primeira ré af</w:t>
      </w:r>
      <w:r>
        <w:t>irmou que o autor laborou na UNESP ou em escolas municipais, estaduais não, porque só com aquelas possuía contrato, não sabendo dizer em qual delas exatamente, mas sempre no regime 12x36, não trabalhando em folgas e disse que, embora não houvesse almocista</w:t>
      </w:r>
      <w:r>
        <w:t xml:space="preserve"> ou jantista, havia revezamento com colega de trabalho para fruição do intervalo intrajornada.</w:t>
      </w:r>
    </w:p>
    <w:p w14:paraId="04BD80BC" w14:textId="77777777" w:rsidR="009D315E" w:rsidRDefault="009A0511">
      <w:pPr>
        <w:pStyle w:val="Transcrio"/>
      </w:pPr>
      <w:r>
        <w:t>A testemunha autoral declarou que trabalhou com o autor apenas na UNESP, que o autor laborava das 18 às 6h, que não tinha intervalo para jantar e não faziam reve</w:t>
      </w:r>
      <w:r>
        <w:t>zamento para tanto. Não soube informar acerca do labor obreiro em outro local.</w:t>
      </w:r>
    </w:p>
    <w:p w14:paraId="750062D7" w14:textId="77777777" w:rsidR="009D315E" w:rsidRDefault="009A0511">
      <w:pPr>
        <w:pStyle w:val="Transcrio"/>
      </w:pPr>
      <w:r>
        <w:t>Já a testemunha da ré, iniciou as atividades em agosto/2018 e, de fato, na condição de supervisor apenas fazia visitas rápidas ao local. Afirmou que o autor não laborou em folga</w:t>
      </w:r>
      <w:r>
        <w:t>s e usufruía do intervalo intrajornada, confirmou não haver jantista, mas, sim, revezamento. Disse que a testemunha anterior não laborou com o reclamante, mas, sim, em outra escola.</w:t>
      </w:r>
    </w:p>
    <w:p w14:paraId="2ADCDB4D" w14:textId="77777777" w:rsidR="009D315E" w:rsidRDefault="009A0511">
      <w:pPr>
        <w:pStyle w:val="Transcrio"/>
      </w:pPr>
      <w:r>
        <w:t xml:space="preserve">Diante do conjunto probatório supra, entendo que a r. sentença não merece </w:t>
      </w:r>
      <w:r>
        <w:t>reparos.</w:t>
      </w:r>
    </w:p>
    <w:p w14:paraId="75D5E2ED" w14:textId="77777777" w:rsidR="009D315E" w:rsidRDefault="009A0511">
      <w:pPr>
        <w:pStyle w:val="Transcrio"/>
      </w:pPr>
      <w:r>
        <w:t>Como bem ressaltou a origem, o depoimento da testemunha da ré se mostra frágil, não apenas por conta das visitas esporádicas, mas principalmente porque iniciou suas atividades poucos dias antes de o recorrido ser desligado da empresa, de forma que</w:t>
      </w:r>
      <w:r>
        <w:t xml:space="preserve"> não pôde vivenciar como efetivamente o obreiro se ativou ao longo de seu curto período contratual.</w:t>
      </w:r>
    </w:p>
    <w:p w14:paraId="296F82A7" w14:textId="77777777" w:rsidR="009D315E" w:rsidRDefault="009A0511">
      <w:pPr>
        <w:pStyle w:val="Transcrio"/>
      </w:pPr>
      <w:r>
        <w:t>Por sua vez, em que pese a primeira testemunha ter trabalhado com o autor apenas na UNESP, não havendo provas de que este de fato laborava na escola em dias</w:t>
      </w:r>
      <w:r>
        <w:t xml:space="preserve"> de folga, certo é que a 1ª ré não juntou os registros de ponto, o que faz presumir como verdadeira a jornada aduzida na inicial (Súmula 338 do C. TST), pelo que à recorrente incumbia o ônus probatório acerca do labor em apenas um dos locais por vez, encar</w:t>
      </w:r>
      <w:r>
        <w:t>go do qual não se desincumbiu.</w:t>
      </w:r>
    </w:p>
    <w:p w14:paraId="35F41184" w14:textId="77777777" w:rsidR="009D315E" w:rsidRDefault="009A0511">
      <w:pPr>
        <w:pStyle w:val="Transcrio"/>
      </w:pPr>
      <w:r>
        <w:t>Nesses termos, tem-se por comprovado o labor em folgas (art. 818, II, da CLT), assim como durante o intervalo intrajornada, eis que a empresa não possuía jantista, conforme depuseram unanimemente os depoentes, e que a testemu</w:t>
      </w:r>
      <w:r>
        <w:t>nha do autor afirmou não haver revezamento entre eles para fruição, mostrando-se correta a origem na jornada fixada, assim como a condenação ao pagamento do período para repouso e alimentação, sem reflexos, bem como de domingos em dobro diante da descaract</w:t>
      </w:r>
      <w:r>
        <w:t>erização da escala adotada.</w:t>
      </w:r>
    </w:p>
    <w:p w14:paraId="6F50CE6A" w14:textId="77777777" w:rsidR="009D315E" w:rsidRDefault="009A0511">
      <w:pPr>
        <w:pStyle w:val="Transcrio"/>
      </w:pPr>
      <w:r>
        <w:t>Insta esclarecer, a fim de que se evitem desnecessários embargos de declaração, que a invalidação do regime de labor, como bem decidiu a origem, não se deu em virtude do intervalo intrajornada não usufruído, mas em razão dos lab</w:t>
      </w:r>
      <w:r>
        <w:t>or por 30 dias seguidos, sem fruição das folgas.</w:t>
      </w:r>
    </w:p>
    <w:p w14:paraId="0A0BB411" w14:textId="77777777" w:rsidR="009D315E" w:rsidRDefault="009A0511">
      <w:pPr>
        <w:pStyle w:val="Transcrio"/>
      </w:pPr>
      <w:r>
        <w:t>Nego provimento.</w:t>
      </w:r>
    </w:p>
    <w:p w14:paraId="7E07B7E1" w14:textId="77777777" w:rsidR="009D315E" w:rsidRDefault="009A0511">
      <w:pPr>
        <w:pStyle w:val="Transcrio"/>
      </w:pPr>
      <w:r>
        <w:t>DOS DANOS MORAIS</w:t>
      </w:r>
    </w:p>
    <w:p w14:paraId="09262C6D" w14:textId="77777777" w:rsidR="009D315E" w:rsidRDefault="009A0511">
      <w:pPr>
        <w:pStyle w:val="Transcrio"/>
      </w:pPr>
      <w:r>
        <w:t>A reclamada sustenta que a existência de eventual atraso ou equívoco no pagamento das verbas rescisórias, não justifica o deferimento de indenização por danos morais, se não</w:t>
      </w:r>
      <w:r>
        <w:t xml:space="preserve"> comprovado o efetivo dano, inclusive porque a reparação já é prevista na lei, através da multa do art. 477 da CLT.</w:t>
      </w:r>
    </w:p>
    <w:p w14:paraId="1883047A" w14:textId="77777777" w:rsidR="009D315E" w:rsidRDefault="009A0511">
      <w:pPr>
        <w:pStyle w:val="Transcrio"/>
      </w:pPr>
      <w:r>
        <w:t>Sem razão.</w:t>
      </w:r>
    </w:p>
    <w:p w14:paraId="754F7C9B" w14:textId="77777777" w:rsidR="009D315E" w:rsidRDefault="009A0511">
      <w:pPr>
        <w:pStyle w:val="Transcrio"/>
      </w:pPr>
      <w:r>
        <w:t xml:space="preserve">Amadurecendo seu posicionamento a respeito da matéria, este relator passou a adotar o entendimento que vem </w:t>
      </w:r>
      <w:r>
        <w:t xml:space="preserve">prevalecendo nesta C. Câmara, qual seja: "(...) com a negativa do pagamento das verbas rescisórias, o reclamante teve injustificada e subitamente retirada a fonte com que contava para se manter e atingida frontalmente a sua dignidade, dano in re ipsa, que </w:t>
      </w:r>
      <w:r>
        <w:t>independe de comprovação". Proc. 0010573-70.2014.5.15.0097 - Desemb. João Batista Martins César.</w:t>
      </w:r>
    </w:p>
    <w:p w14:paraId="056C40AC" w14:textId="77777777" w:rsidR="009D315E" w:rsidRDefault="009A0511">
      <w:pPr>
        <w:pStyle w:val="Transcrio"/>
      </w:pPr>
      <w:r>
        <w:t>Dessa maneira, comprovada a ofensa moral perpetrada pelo inadimplemento da ré, o trabalhador tem direito à correlata reparação civil, a qual diga-se</w:t>
      </w:r>
    </w:p>
    <w:p w14:paraId="24F9AB6D" w14:textId="77777777" w:rsidR="009D315E" w:rsidRDefault="009A0511">
      <w:pPr>
        <w:pStyle w:val="Transcrio"/>
      </w:pPr>
      <w:r>
        <w:t>Oportuno r</w:t>
      </w:r>
      <w:r>
        <w:t>essaltar, que não há que se falar em afronta à tese fixada pelo C. TST, no Tema 143, porquanto o objeto da prova, no caso, é o contexto fático que faz presumir o malferimento ao patrimônio imaterial do trabalhador.</w:t>
      </w:r>
    </w:p>
    <w:p w14:paraId="19323D22" w14:textId="77777777" w:rsidR="009D315E" w:rsidRDefault="009A0511">
      <w:pPr>
        <w:pStyle w:val="Transcrio"/>
      </w:pPr>
      <w:r>
        <w:t>Mantenho.</w:t>
      </w:r>
    </w:p>
    <w:p w14:paraId="375FEE3C" w14:textId="77777777" w:rsidR="009D315E" w:rsidRDefault="009A0511">
      <w:pPr>
        <w:pStyle w:val="Transcrio"/>
      </w:pPr>
      <w:r>
        <w:t xml:space="preserve">DOS HONORÁRIOS </w:t>
      </w:r>
      <w:r>
        <w:t>SUCUMBENCIAIS</w:t>
      </w:r>
    </w:p>
    <w:p w14:paraId="76434611" w14:textId="77777777" w:rsidR="009D315E" w:rsidRDefault="009A0511">
      <w:pPr>
        <w:pStyle w:val="Transcrio"/>
      </w:pPr>
      <w:r>
        <w:t xml:space="preserve">A reclamada requer a redução de sua condenação ao pagamento de honorários advocatícios para patamar mínimo (5% sobre o valor líquido da condenação), bem como a condenação do autor, ainda que com exigibilidade suspensa, em vista à sucumbência </w:t>
      </w:r>
      <w:r>
        <w:t>recíproca, que a seu ver deve ser fixada em 15%.</w:t>
      </w:r>
    </w:p>
    <w:p w14:paraId="0DE3E4F4" w14:textId="77777777" w:rsidR="009D315E" w:rsidRDefault="009A0511">
      <w:pPr>
        <w:pStyle w:val="Transcrio"/>
      </w:pPr>
      <w:r>
        <w:t>Melhor sorte não lhe assiste.</w:t>
      </w:r>
    </w:p>
    <w:p w14:paraId="7AD311F8" w14:textId="77777777" w:rsidR="009D315E" w:rsidRDefault="009A0511">
      <w:pPr>
        <w:pStyle w:val="Transcrio"/>
      </w:pPr>
      <w:r>
        <w:t>A origem já determinou o pagamento de honorários advocatícios por ambas as partes, diante da sucumbência recíproca, sob condição suspensiva de exigibilidade, em conformidade com</w:t>
      </w:r>
      <w:r>
        <w:t xml:space="preserve"> o que decidido pelo STF na ADI 5766, e o percentual arbitrado (10%) mostra-se condizentes com os serviços prestados, não merecendo reforma, portanto.</w:t>
      </w:r>
    </w:p>
    <w:p w14:paraId="0E65532E" w14:textId="77777777" w:rsidR="009D315E" w:rsidRDefault="009A0511">
      <w:pPr>
        <w:pStyle w:val="Transcrio"/>
      </w:pPr>
      <w:r>
        <w:t>Nada a deferir.</w:t>
      </w:r>
    </w:p>
    <w:p w14:paraId="6034B764" w14:textId="77777777" w:rsidR="009D315E" w:rsidRDefault="009A0511">
      <w:pPr>
        <w:pStyle w:val="Transcrio"/>
      </w:pPr>
      <w:r>
        <w:t>DO PREQUESTIONAMENTO</w:t>
      </w:r>
    </w:p>
    <w:p w14:paraId="616C738F" w14:textId="77777777" w:rsidR="009D315E" w:rsidRDefault="009A0511">
      <w:pPr>
        <w:pStyle w:val="Transcrio"/>
      </w:pPr>
      <w:r>
        <w:t>A matéria ou questão, trazida a esta instância recursal, resta prequ</w:t>
      </w:r>
      <w:r>
        <w:t>estionada quando se adota tese expressa a respeito na decisão impugnada (Súmula n.º 297, I, do TST), sendo desnecessário haver referência explícita do dispositivo legal para tê-lo como prequestionado (OJ SDI-I n.º 118 do TST), não se olvidando que os embar</w:t>
      </w:r>
      <w:r>
        <w:t>gos de declaração não se prestam a reformar ou anular a decisão judicial, fora das hipóteses legais de cabimento, sendo instrumento inadequado a estes objetivos, sob pena de serem considerados protelatórios e ensejar a imposição da multa e demais penalidad</w:t>
      </w:r>
      <w:r>
        <w:t>es previstas no art. 1.026, §´s 2º, 3º e 4º, do CPC/15.</w:t>
      </w:r>
    </w:p>
    <w:p w14:paraId="189A14EF" w14:textId="77777777" w:rsidR="009D315E" w:rsidRDefault="009A0511">
      <w:pPr>
        <w:pStyle w:val="Transcrio"/>
      </w:pPr>
      <w:r>
        <w:t>Nestes termos, fixam-se as razões de decidir para fins de prequestionamento.Mérito</w:t>
      </w:r>
    </w:p>
    <w:p w14:paraId="6A21E273" w14:textId="77777777" w:rsidR="009D315E" w:rsidRDefault="009A0511">
      <w:pPr>
        <w:pStyle w:val="Transcrio"/>
      </w:pPr>
      <w:r>
        <w:t>Recurso da parte</w:t>
      </w:r>
    </w:p>
    <w:p w14:paraId="30F93683" w14:textId="77777777" w:rsidR="009D315E" w:rsidRDefault="009A0511">
      <w:pPr>
        <w:pStyle w:val="Transcrio"/>
      </w:pPr>
      <w:r>
        <w:t>Item de recurso</w:t>
      </w:r>
    </w:p>
    <w:p w14:paraId="63AD062C" w14:textId="77777777" w:rsidR="009D315E" w:rsidRDefault="009A0511">
      <w:pPr>
        <w:pStyle w:val="Transcrio"/>
      </w:pPr>
      <w:r>
        <w:t>Conclusão do recurso</w:t>
      </w:r>
    </w:p>
    <w:p w14:paraId="7FD2A3DE" w14:textId="77777777" w:rsidR="009D315E" w:rsidRDefault="009A0511">
      <w:pPr>
        <w:pStyle w:val="Transcrio"/>
      </w:pPr>
      <w:r>
        <w:t>Dispositivo</w:t>
      </w:r>
    </w:p>
    <w:p w14:paraId="4EE56C57" w14:textId="77777777" w:rsidR="009D315E" w:rsidRDefault="009A0511">
      <w:pPr>
        <w:pStyle w:val="Transcrio"/>
      </w:pPr>
      <w:r>
        <w:t>Diante do exposto, nos termos da fundamentação, dec</w:t>
      </w:r>
      <w:r>
        <w:t>ido CONHECER do recurso ordinário de MUNICIPIO DE FRANCA, rejeitar a preliminar e, no mérito, NÃO O PROVER, bem como CONHECER e NÃO PROVER o apelo BARBO SEGURANCA EIRELI - EPP.Cabeçalho do acórdão</w:t>
      </w:r>
    </w:p>
    <w:p w14:paraId="527A26A3" w14:textId="77777777" w:rsidR="009D315E" w:rsidRDefault="009A0511">
      <w:pPr>
        <w:pStyle w:val="Transcrio"/>
      </w:pPr>
      <w:r>
        <w:t>Acórdão</w:t>
      </w:r>
    </w:p>
    <w:p w14:paraId="33291DAC" w14:textId="77777777" w:rsidR="009D315E" w:rsidRDefault="009A0511">
      <w:pPr>
        <w:pStyle w:val="Transcrio"/>
      </w:pPr>
      <w:r>
        <w:t>Em sessão virtual realizada em 31/07/2025, conforme</w:t>
      </w:r>
      <w:r>
        <w:t xml:space="preserve"> os termos da Portaria GP nº 05/2023 deste E. TRT, A C O R D A M os Magistrados da 11ª Câmara (Sexta Turma) do Tribunal Regional do Trabalho da Décima Quinta Região em julgar o processo nos termos do voto proposto pelo Exmo. Sr. Relator.</w:t>
      </w:r>
    </w:p>
    <w:p w14:paraId="4B641CE3" w14:textId="77777777" w:rsidR="009D315E" w:rsidRDefault="009A0511">
      <w:pPr>
        <w:pStyle w:val="Transcrio"/>
      </w:pPr>
      <w:r>
        <w:t>Votação unânime.</w:t>
      </w:r>
    </w:p>
    <w:p w14:paraId="5AB4FC4A" w14:textId="77777777" w:rsidR="009D315E" w:rsidRDefault="009A0511">
      <w:pPr>
        <w:pStyle w:val="Transcrio"/>
      </w:pPr>
      <w:r>
        <w:t>C</w:t>
      </w:r>
      <w:r>
        <w:t>omposição: Exmos. Srs. Desembargadores LUÍS HENRIQUE RAFAEL (Relator) eJOÃO BATISTA MARTINS CÉSAR (Presidente Regimental) e Exma. Sra. JuízaANA LUCIA COGO CASARI CASTANHO FERREIRA.</w:t>
      </w:r>
    </w:p>
    <w:p w14:paraId="6C3F9C30" w14:textId="77777777" w:rsidR="009D315E" w:rsidRDefault="009A0511">
      <w:pPr>
        <w:pStyle w:val="Transcrio"/>
      </w:pPr>
      <w:r>
        <w:t>Ministério Público do Trabalho: Exmo.(a) Sr.(a) Procurador(a) Ciente.</w:t>
      </w:r>
    </w:p>
    <w:p w14:paraId="5F57E08F" w14:textId="77777777" w:rsidR="009D315E" w:rsidRDefault="009A0511">
      <w:pPr>
        <w:pStyle w:val="Transcrio"/>
      </w:pPr>
      <w:r>
        <w:t>Sessã</w:t>
      </w:r>
      <w:r>
        <w:t>o realizada em 31 de julho de 2025.Assinatura</w:t>
      </w:r>
    </w:p>
    <w:p w14:paraId="494EC95B" w14:textId="77777777" w:rsidR="009D315E" w:rsidRDefault="009A0511">
      <w:pPr>
        <w:pStyle w:val="Transcrio"/>
      </w:pPr>
      <w:r>
        <w:t>LUIS HENRIQUE RAFAEL</w:t>
      </w:r>
    </w:p>
    <w:p w14:paraId="6E8F881D" w14:textId="77777777" w:rsidR="009D315E" w:rsidRDefault="009A0511">
      <w:pPr>
        <w:pStyle w:val="Transcrio"/>
      </w:pPr>
      <w:r>
        <w:t>DESEMBARGADOR RELATOR</w:t>
      </w:r>
    </w:p>
    <w:p w14:paraId="1365BB7F" w14:textId="77777777" w:rsidR="009D315E" w:rsidRDefault="009A0511">
      <w:pPr>
        <w:pStyle w:val="Transcrio"/>
      </w:pPr>
      <w:r>
        <w:t>Votos Revisores</w:t>
      </w:r>
    </w:p>
    <w:p w14:paraId="40D6AD76" w14:textId="77777777" w:rsidR="009D315E" w:rsidRDefault="009A0511">
      <w:r>
        <w:pict w14:anchorId="4C9B9B3A">
          <v:rect id="_x0000_i1025" style="width:0;height:1.5pt" o:hralign="center" o:hrstd="t" o:hr="t" fillcolor="#a0a0a0" stroked="f"/>
        </w:pict>
      </w:r>
    </w:p>
    <w:p w14:paraId="53A15438" w14:textId="77777777" w:rsidR="009D315E" w:rsidRDefault="009A0511">
      <w:r>
        <w:pict w14:anchorId="11F3ECA5">
          <v:rect id="_x0000_i1026" style="width:0;height:1.5pt" o:hralign="center" o:hrstd="t" o:hr="t" fillcolor="#a0a0a0" stroked="f"/>
        </w:pict>
      </w:r>
    </w:p>
    <w:p w14:paraId="4F25504C" w14:textId="77777777" w:rsidR="009D315E" w:rsidRDefault="009D315E">
      <w:pPr>
        <w:pStyle w:val="Corpo"/>
        <w:rPr>
          <w:color w:val="auto"/>
        </w:rPr>
      </w:pPr>
    </w:p>
    <w:p w14:paraId="6B02D5B5" w14:textId="359E1B63" w:rsidR="009D315E" w:rsidRDefault="009A0511">
      <w:pPr>
        <w:pStyle w:val="Corpo"/>
        <w:rPr>
          <w:color w:val="auto"/>
        </w:rPr>
      </w:pPr>
      <w:r>
        <w:rPr>
          <w:color w:val="auto"/>
          <w:highlight w:val="yellow"/>
        </w:rPr>
        <w:t>Inconformada, a executada...</w:t>
      </w:r>
    </w:p>
    <w:p w14:paraId="7D7927C5" w14:textId="77777777" w:rsidR="009D315E" w:rsidRDefault="009A0511">
      <w:pPr>
        <w:pStyle w:val="Corpo"/>
        <w:rPr>
          <w:rFonts w:cs="Open Sans"/>
        </w:rPr>
      </w:pPr>
      <w:r>
        <w:rPr>
          <w:rFonts w:cs="Open Sans"/>
        </w:rPr>
        <w:t>Ao exame.</w:t>
      </w:r>
    </w:p>
    <w:p w14:paraId="5224FE14" w14:textId="06EA7D49" w:rsidR="009D315E" w:rsidRDefault="009A0511">
      <w:pPr>
        <w:pStyle w:val="Corpo"/>
        <w:rPr>
          <w:rFonts w:cs="Open Sans"/>
        </w:rPr>
      </w:pPr>
      <w:r>
        <w:rPr>
          <w:rFonts w:cs="Open Sans"/>
        </w:rPr>
        <w:t>Hipótese em que o Tribunal Regional</w:t>
      </w:r>
      <w:r>
        <w:rPr>
          <w:rFonts w:cs="Open Sans"/>
          <w:highlight w:val="yellow"/>
        </w:rPr>
        <w:t>....</w:t>
      </w:r>
      <w:r>
        <w:rPr>
          <w:rFonts w:cs="Open Sans"/>
        </w:rPr>
        <w:t xml:space="preserve"> </w:t>
      </w:r>
    </w:p>
    <w:p w14:paraId="1C7D0AC2" w14:textId="77777777" w:rsidR="009D315E" w:rsidRDefault="009A0511">
      <w:pPr>
        <w:pStyle w:val="Corpo"/>
        <w:rPr>
          <w:rFonts w:cs="Open Sans"/>
        </w:rPr>
      </w:pPr>
      <w:r>
        <w:rPr>
          <w:rFonts w:cs="Open Sans"/>
        </w:rPr>
        <w:t xml:space="preserve">De plano, constata-se que a matéria em debate não oferece </w:t>
      </w:r>
      <w:r>
        <w:rPr>
          <w:rFonts w:cs="Open Sans"/>
        </w:rPr>
        <w:t>transcendência hábil a impulsionar o processamento do apelo.</w:t>
      </w:r>
    </w:p>
    <w:p w14:paraId="7602F511" w14:textId="77777777" w:rsidR="009D315E" w:rsidRDefault="009A0511">
      <w:pPr>
        <w:pStyle w:val="corpo-000011"/>
        <w:spacing w:before="0" w:beforeAutospacing="0" w:after="0" w:afterAutospacing="0" w:line="360" w:lineRule="atLeast"/>
        <w:ind w:firstLine="2549"/>
        <w:jc w:val="both"/>
        <w:rPr>
          <w:rFonts w:ascii="Open Sans" w:hAnsi="Open Sans" w:cs="Open Sans"/>
          <w:color w:val="000000"/>
        </w:rPr>
      </w:pPr>
      <w:r>
        <w:rPr>
          <w:rStyle w:val="fontepargpadro-000013"/>
          <w:rFonts w:ascii="Open Sans" w:hAnsi="Open Sans" w:cs="Open Sans"/>
          <w:color w:val="000000"/>
        </w:rPr>
        <w:t>Isso porque, conforme dispõe o art. 896, § 2º, da CLT, "</w:t>
      </w:r>
      <w:r>
        <w:rPr>
          <w:rStyle w:val="fontepargpadro-000020"/>
          <w:rFonts w:ascii="Open Sans" w:hAnsi="Open Sans" w:cs="Open Sans"/>
          <w:i/>
          <w:iCs/>
          <w:color w:val="000000"/>
        </w:rPr>
        <w:t>das decisões proferidas pelo</w:t>
      </w:r>
      <w:r>
        <w:rPr>
          <w:rStyle w:val="fontepargpadro-000019"/>
          <w:rFonts w:ascii="Open Sans" w:hAnsi="Open Sans" w:cs="Open Sans"/>
          <w:i/>
          <w:iCs/>
          <w:color w:val="000000"/>
        </w:rPr>
        <w:t xml:space="preserve">s Tribunais Regionais do Trabalho ou por suas Turmas, em execução de sentença, inclusive em processo incidente </w:t>
      </w:r>
      <w:r>
        <w:rPr>
          <w:rStyle w:val="fontepargpadro-000019"/>
          <w:rFonts w:ascii="Open Sans" w:hAnsi="Open Sans" w:cs="Open Sans"/>
          <w:i/>
          <w:iCs/>
          <w:color w:val="000000"/>
        </w:rPr>
        <w:t xml:space="preserve">de embargos de terceiro, </w:t>
      </w:r>
      <w:r>
        <w:rPr>
          <w:rStyle w:val="fontepargpadro-000021"/>
          <w:rFonts w:ascii="Open Sans" w:hAnsi="Open Sans" w:cs="Open Sans"/>
          <w:b/>
          <w:bCs/>
          <w:i/>
          <w:iCs/>
          <w:color w:val="000000"/>
          <w:u w:val="single"/>
        </w:rPr>
        <w:t>não caberá Recurso de Revista, salvo na hipótese de ofensa direta e literal de norma da Constituição Federal</w:t>
      </w:r>
      <w:r>
        <w:rPr>
          <w:rStyle w:val="fontepargpadro-000010"/>
          <w:rFonts w:ascii="Open Sans" w:hAnsi="Open Sans" w:cs="Open Sans"/>
          <w:color w:val="000000"/>
        </w:rPr>
        <w:t xml:space="preserve">". </w:t>
      </w:r>
    </w:p>
    <w:p w14:paraId="6A80813D" w14:textId="77777777" w:rsidR="009D315E" w:rsidRDefault="009A0511">
      <w:pPr>
        <w:pStyle w:val="corpo-000011"/>
        <w:spacing w:before="0" w:beforeAutospacing="0" w:after="0" w:afterAutospacing="0" w:line="360" w:lineRule="atLeast"/>
        <w:ind w:firstLine="2549"/>
        <w:jc w:val="both"/>
        <w:rPr>
          <w:rFonts w:ascii="Open Sans" w:hAnsi="Open Sans" w:cs="Open Sans"/>
          <w:color w:val="000000"/>
        </w:rPr>
      </w:pPr>
      <w:r>
        <w:rPr>
          <w:rStyle w:val="fontepargpadro-000010"/>
          <w:rFonts w:ascii="Open Sans" w:hAnsi="Open Sans" w:cs="Open Sans"/>
          <w:color w:val="000000"/>
        </w:rPr>
        <w:t>Reiterada a determinação na Súmula 266 do TST, segundo a qual “</w:t>
      </w:r>
      <w:r>
        <w:rPr>
          <w:rStyle w:val="fontepargpadro-000019"/>
          <w:rFonts w:ascii="Open Sans" w:hAnsi="Open Sans" w:cs="Open Sans"/>
          <w:i/>
          <w:iCs/>
          <w:color w:val="000000"/>
        </w:rPr>
        <w:t xml:space="preserve">A admissibilidade do recurso de revista interposto de acórdão proferido em agravo de petição, na liquidação de sentença ou em processo incidente na execução, inclusive os embargos de terceiro, depende de </w:t>
      </w:r>
      <w:r>
        <w:rPr>
          <w:rStyle w:val="fontepargpadro-000021"/>
          <w:rFonts w:ascii="Open Sans" w:hAnsi="Open Sans" w:cs="Open Sans"/>
          <w:b/>
          <w:bCs/>
          <w:i/>
          <w:iCs/>
          <w:color w:val="000000"/>
          <w:u w:val="single"/>
        </w:rPr>
        <w:t>demonstração inequívoca de violência direta à Consti</w:t>
      </w:r>
      <w:r>
        <w:rPr>
          <w:rStyle w:val="fontepargpadro-000021"/>
          <w:rFonts w:ascii="Open Sans" w:hAnsi="Open Sans" w:cs="Open Sans"/>
          <w:b/>
          <w:bCs/>
          <w:i/>
          <w:iCs/>
          <w:color w:val="000000"/>
          <w:u w:val="single"/>
        </w:rPr>
        <w:t>tuição Federal</w:t>
      </w:r>
      <w:r>
        <w:rPr>
          <w:rStyle w:val="fontepargpadro-000010"/>
          <w:rFonts w:ascii="Open Sans" w:hAnsi="Open Sans" w:cs="Open Sans"/>
          <w:color w:val="000000"/>
        </w:rPr>
        <w:t>”.</w:t>
      </w:r>
    </w:p>
    <w:p w14:paraId="5EEAE8EF" w14:textId="77777777" w:rsidR="009D315E" w:rsidRDefault="009A0511">
      <w:pPr>
        <w:pStyle w:val="corpo-000011"/>
        <w:spacing w:before="0" w:beforeAutospacing="0" w:after="0" w:afterAutospacing="0" w:line="360" w:lineRule="atLeast"/>
        <w:ind w:firstLine="2549"/>
        <w:jc w:val="both"/>
        <w:rPr>
          <w:rFonts w:ascii="Open Sans" w:hAnsi="Open Sans" w:cs="Open Sans"/>
          <w:color w:val="000000"/>
        </w:rPr>
      </w:pPr>
      <w:r>
        <w:rPr>
          <w:rStyle w:val="fontepargpadro-000010"/>
          <w:rFonts w:ascii="Open Sans" w:hAnsi="Open Sans" w:cs="Open Sans"/>
          <w:color w:val="000000"/>
        </w:rPr>
        <w:t>Ao aludir a ofensa "direta e literal", o dispositivo legal, por óbvio, exclui a possibilidade de recurso de revista lastreado em violação de preceitos de índole infraconstitucional, que somente por reflexo atingiriam normas constitucionais</w:t>
      </w:r>
      <w:r>
        <w:rPr>
          <w:rStyle w:val="fontepargpadro-000010"/>
          <w:rFonts w:ascii="Open Sans" w:hAnsi="Open Sans" w:cs="Open Sans"/>
          <w:color w:val="000000"/>
        </w:rPr>
        <w:t>. Tampouco viável o apelo fundado em contrariedade a súmulas do TST ou em divergência jurisprudencial.</w:t>
      </w:r>
    </w:p>
    <w:p w14:paraId="7FDA32F3" w14:textId="63E70B4C" w:rsidR="009D315E" w:rsidRDefault="009A0511">
      <w:pPr>
        <w:pStyle w:val="Corpo"/>
      </w:pPr>
      <w:r>
        <w:t xml:space="preserve">No caso concreto, a discussão </w:t>
      </w:r>
      <w:r>
        <w:rPr>
          <w:highlight w:val="yellow"/>
        </w:rPr>
        <w:t>XXXXXXXXXXXXXX</w:t>
      </w:r>
    </w:p>
    <w:p w14:paraId="70E19022" w14:textId="77777777" w:rsidR="009D315E" w:rsidRDefault="009A0511">
      <w:pPr>
        <w:pStyle w:val="Corpo"/>
      </w:pPr>
      <w:r>
        <w:t xml:space="preserve">Nesse contexto, eventual afronta aos preceitos constitucionais, ainda que verificada, ocorreria apenas pela </w:t>
      </w:r>
      <w:r>
        <w:t xml:space="preserve">via reflexa, desautorizando o processamento de recurso de revista em sede de execução. </w:t>
      </w:r>
    </w:p>
    <w:p w14:paraId="18634BEF" w14:textId="77777777" w:rsidR="009D315E" w:rsidRDefault="009A0511">
      <w:pPr>
        <w:pStyle w:val="Corpo"/>
      </w:pPr>
      <w:r>
        <w:t>Nesse sentido, cito julgados desta Corte:</w:t>
      </w:r>
    </w:p>
    <w:p w14:paraId="72EA9EFE" w14:textId="77777777" w:rsidR="009D315E" w:rsidRDefault="009D315E">
      <w:pPr>
        <w:pStyle w:val="Corpo"/>
        <w:rPr>
          <w:color w:val="auto"/>
        </w:rPr>
      </w:pPr>
    </w:p>
    <w:p w14:paraId="76036441" w14:textId="77777777" w:rsidR="009D315E" w:rsidRDefault="009D315E">
      <w:pPr>
        <w:pStyle w:val="Transcrio"/>
      </w:pPr>
    </w:p>
    <w:p w14:paraId="7B2A1376" w14:textId="77777777" w:rsidR="009D315E" w:rsidRDefault="009D315E">
      <w:pPr>
        <w:pStyle w:val="Corpo"/>
        <w:rPr>
          <w:color w:val="auto"/>
        </w:rPr>
      </w:pPr>
    </w:p>
    <w:p w14:paraId="7F8B9957" w14:textId="77777777" w:rsidR="009D315E" w:rsidRDefault="009A0511">
      <w:pPr>
        <w:pStyle w:val="Corpo"/>
      </w:pPr>
      <w:r>
        <w:t>Destarte, impossível vislumbrar afronta aos evocados preceitos da Constituição da República (art. 896, § 2º, da CLT e Súmul</w:t>
      </w:r>
      <w:r>
        <w:t>a 266 do TST).</w:t>
      </w:r>
    </w:p>
    <w:p w14:paraId="29CF9C3F" w14:textId="77777777" w:rsidR="009D315E" w:rsidRDefault="009A0511">
      <w:pPr>
        <w:pStyle w:val="Corpo"/>
      </w:pPr>
      <w:r>
        <w:rPr>
          <w:b/>
          <w:bCs/>
        </w:rPr>
        <w:t>Nego provimento ao agravo de instrumento</w:t>
      </w:r>
      <w:r>
        <w:t>.</w:t>
      </w:r>
    </w:p>
    <w:p w14:paraId="7E1BB02E" w14:textId="77777777" w:rsidR="009D315E" w:rsidRDefault="009D315E">
      <w:pPr>
        <w:pStyle w:val="Corpo"/>
        <w:rPr>
          <w:color w:val="auto"/>
        </w:rPr>
      </w:pPr>
    </w:p>
    <w:p w14:paraId="7E1BB02F" w14:textId="77777777" w:rsidR="009D315E" w:rsidRDefault="009A0511">
      <w:pPr>
        <w:pStyle w:val="IstoPosto"/>
        <w:outlineLvl w:val="0"/>
        <w:rPr>
          <w:b/>
        </w:rPr>
      </w:pPr>
      <w:r>
        <w:rPr>
          <w:b/>
        </w:rPr>
        <w:t>ISTO POSTO</w:t>
      </w:r>
    </w:p>
    <w:p w14:paraId="7E1BB030" w14:textId="77777777" w:rsidR="009D315E" w:rsidRDefault="009D315E">
      <w:pPr>
        <w:pStyle w:val="Corpo"/>
      </w:pPr>
    </w:p>
    <w:p w14:paraId="7E1BB031" w14:textId="19AEF297" w:rsidR="009D315E" w:rsidRDefault="009A0511">
      <w:pPr>
        <w:pStyle w:val="Corpo"/>
        <w:rPr>
          <w:color w:val="auto"/>
        </w:rPr>
      </w:pPr>
      <w:r>
        <w:rPr>
          <w:b/>
          <w:bCs/>
          <w:color w:val="auto"/>
        </w:rPr>
        <w:t>ACORDAM</w:t>
      </w:r>
      <w:r>
        <w:rPr>
          <w:color w:val="auto"/>
        </w:rPr>
        <w:t xml:space="preserve"> os Mi</w:t>
      </w:r>
      <w:r>
        <w:t xml:space="preserve">nistros da Quinta Turma do Tribunal Superior do Trabalho, por unanimidade, </w:t>
      </w:r>
      <w:r>
        <w:rPr>
          <w:b/>
        </w:rPr>
        <w:t>conhecer do agravo de instrumento e, no mérito, negar-lhe provimento</w:t>
      </w:r>
      <w:r>
        <w:t>.</w:t>
      </w:r>
    </w:p>
    <w:p w14:paraId="7E1BB033" w14:textId="77777777" w:rsidR="009D315E" w:rsidRDefault="009A0511">
      <w:pPr>
        <w:pStyle w:val="Data"/>
        <w:rPr>
          <w:color w:val="auto"/>
        </w:rPr>
      </w:pPr>
      <w:r>
        <w:rPr>
          <w:color w:val="auto"/>
        </w:rPr>
        <w:t>Brasília,   de         de</w:t>
      </w:r>
    </w:p>
    <w:p w14:paraId="7E1BB034" w14:textId="77777777" w:rsidR="009D315E" w:rsidRDefault="009D315E">
      <w:pPr>
        <w:pStyle w:val="Corpo"/>
        <w:rPr>
          <w:color w:val="auto"/>
        </w:rPr>
      </w:pPr>
    </w:p>
    <w:p w14:paraId="7E1BB035" w14:textId="77777777" w:rsidR="009D315E" w:rsidRDefault="009D315E">
      <w:pPr>
        <w:pStyle w:val="Corpo"/>
        <w:rPr>
          <w:color w:val="auto"/>
        </w:rPr>
      </w:pPr>
    </w:p>
    <w:p w14:paraId="7E1BB036" w14:textId="77777777" w:rsidR="009D315E" w:rsidRDefault="009D315E">
      <w:pPr>
        <w:pStyle w:val="Corpo"/>
        <w:rPr>
          <w:b/>
          <w:bCs/>
        </w:rPr>
      </w:pPr>
    </w:p>
    <w:p w14:paraId="7E1BB037" w14:textId="77777777" w:rsidR="009D315E" w:rsidRDefault="009A0511">
      <w:pPr>
        <w:pStyle w:val="Autoridade"/>
      </w:pPr>
      <w:r>
        <w:t>MORGANA DE ALMEIDA</w:t>
      </w:r>
    </w:p>
    <w:p w14:paraId="7E1BB038" w14:textId="77777777" w:rsidR="009D315E" w:rsidRDefault="009A0511">
      <w:pPr>
        <w:pStyle w:val="Funo"/>
      </w:pPr>
      <w:r>
        <w:t>Ministra Relatora</w:t>
      </w:r>
    </w:p>
    <w:sectPr w:rsidR="009D315E">
      <w:headerReference w:type="default" r:id="rId7"/>
      <w:footerReference w:type="default" r:id="rId8"/>
      <w:headerReference w:type="first" r:id="rId9"/>
      <w:pgSz w:w="11906" w:h="16838"/>
      <w:pgMar w:top="2551" w:right="567" w:bottom="850" w:left="1474" w:header="851" w:footer="709"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BB050" w14:textId="77777777" w:rsidR="003B2B43" w:rsidRDefault="004C6958">
      <w:pPr>
        <w:spacing w:line="240" w:lineRule="auto"/>
      </w:pPr>
      <w:r>
        <w:separator/>
      </w:r>
    </w:p>
  </w:endnote>
  <w:endnote w:type="continuationSeparator" w:id="0">
    <w:p w14:paraId="7E1BB052" w14:textId="77777777" w:rsidR="003B2B43" w:rsidRDefault="004C69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0"/>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BB041" w14:textId="77777777" w:rsidR="0040425C" w:rsidRDefault="0040425C">
    <w:pPr>
      <w:pStyle w:val="Rodap"/>
      <w:jc w:val="right"/>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BB04C" w14:textId="77777777" w:rsidR="003B2B43" w:rsidRDefault="004C6958">
      <w:pPr>
        <w:spacing w:line="240" w:lineRule="auto"/>
      </w:pPr>
      <w:r>
        <w:separator/>
      </w:r>
    </w:p>
  </w:footnote>
  <w:footnote w:type="continuationSeparator" w:id="0">
    <w:p w14:paraId="7E1BB04E" w14:textId="77777777" w:rsidR="003B2B43" w:rsidRDefault="004C695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BB039" w14:textId="77777777" w:rsidR="0040425C" w:rsidRDefault="0040425C">
    <w:pPr>
      <w:pStyle w:val="NumProcesso"/>
      <w:spacing w:before="0" w:line="240" w:lineRule="auto"/>
      <w:ind w:firstLine="2552"/>
    </w:pPr>
  </w:p>
  <w:p w14:paraId="7E1BB03A" w14:textId="77777777" w:rsidR="0040425C" w:rsidRDefault="004C6958">
    <w:pPr>
      <w:pStyle w:val="NumProcesso"/>
      <w:spacing w:before="0" w:line="240" w:lineRule="auto"/>
      <w:ind w:firstLine="2552"/>
    </w:pPr>
    <w:r>
      <w:t xml:space="preserve">fls. </w:t>
    </w:r>
    <w:r>
      <w:rPr>
        <w:rStyle w:val="Nmerodepgina"/>
        <w:rFonts w:ascii="Times New Roman" w:hAnsi="Times New Roman"/>
        <w:color w:val="auto"/>
        <w:lang w:eastAsia="pt-BR"/>
      </w:rPr>
      <w:fldChar w:fldCharType="begin"/>
    </w:r>
    <w:r>
      <w:rPr>
        <w:rStyle w:val="Nmerodepgina"/>
        <w:rFonts w:ascii="Times New Roman" w:hAnsi="Times New Roman"/>
        <w:color w:val="auto"/>
        <w:lang w:eastAsia="pt-BR"/>
      </w:rPr>
      <w:instrText xml:space="preserve"> PAGE </w:instrText>
    </w:r>
    <w:r>
      <w:rPr>
        <w:rStyle w:val="Nmerodepgina"/>
        <w:rFonts w:ascii="Times New Roman" w:hAnsi="Times New Roman"/>
        <w:color w:val="auto"/>
        <w:lang w:eastAsia="pt-BR"/>
      </w:rPr>
      <w:fldChar w:fldCharType="separate"/>
    </w:r>
    <w:r w:rsidR="00EE2256">
      <w:rPr>
        <w:rStyle w:val="Nmerodepgina"/>
        <w:rFonts w:ascii="Times New Roman" w:hAnsi="Times New Roman"/>
        <w:noProof/>
        <w:color w:val="auto"/>
        <w:lang w:eastAsia="pt-BR"/>
      </w:rPr>
      <w:t>4</w:t>
    </w:r>
    <w:r>
      <w:rPr>
        <w:rStyle w:val="Nmerodepgina"/>
        <w:rFonts w:ascii="Times New Roman" w:hAnsi="Times New Roman"/>
        <w:color w:val="auto"/>
        <w:lang w:eastAsia="pt-BR"/>
      </w:rPr>
      <w:fldChar w:fldCharType="end"/>
    </w:r>
  </w:p>
  <w:p w14:paraId="7E1BB03B" w14:textId="77777777" w:rsidR="0040425C" w:rsidRDefault="0040425C">
    <w:pPr>
      <w:pStyle w:val="NumProcesso"/>
      <w:spacing w:before="0" w:line="240" w:lineRule="auto"/>
      <w:ind w:firstLine="2552"/>
    </w:pPr>
  </w:p>
  <w:p w14:paraId="7E1BB03C" w14:textId="77777777" w:rsidR="0040425C" w:rsidRDefault="0040425C">
    <w:pPr>
      <w:pStyle w:val="NumProcesso"/>
      <w:spacing w:before="0" w:line="240" w:lineRule="auto"/>
      <w:ind w:firstLine="2552"/>
    </w:pPr>
  </w:p>
  <w:p w14:paraId="7E1BB03D" w14:textId="77777777" w:rsidR="0040425C" w:rsidRDefault="0040425C">
    <w:pPr>
      <w:pStyle w:val="NumProcesso"/>
      <w:spacing w:before="0" w:line="240" w:lineRule="auto"/>
      <w:ind w:firstLine="2552"/>
    </w:pPr>
  </w:p>
  <w:p w14:paraId="7E1BB03E" w14:textId="77777777" w:rsidR="0040425C" w:rsidRDefault="0040425C">
    <w:pPr>
      <w:pStyle w:val="NumProcesso"/>
      <w:spacing w:before="0" w:line="240" w:lineRule="auto"/>
      <w:ind w:firstLine="2552"/>
    </w:pPr>
  </w:p>
  <w:p w14:paraId="7E1BB03F" w14:textId="77777777" w:rsidR="0040425C" w:rsidRDefault="0040425C">
    <w:pPr>
      <w:pStyle w:val="NumProcesso"/>
      <w:spacing w:before="0" w:line="240" w:lineRule="auto"/>
      <w:ind w:firstLine="2552"/>
    </w:pPr>
  </w:p>
  <w:p w14:paraId="7E1BB040" w14:textId="77777777" w:rsidR="0040425C" w:rsidRDefault="0040425C">
    <w:pPr>
      <w:pStyle w:val="NumProcesso"/>
      <w:spacing w:before="0" w:line="240" w:lineRule="auto"/>
      <w:ind w:firstLine="255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BB042" w14:textId="77777777" w:rsidR="0040425C" w:rsidRDefault="004C6958">
    <w:pPr>
      <w:pStyle w:val="SemEspaamento"/>
      <w:rPr>
        <w:color w:val="000000"/>
      </w:rPr>
    </w:pPr>
    <w:r>
      <w:rPr>
        <w:noProof/>
        <w:color w:val="000000"/>
      </w:rPr>
      <w:drawing>
        <wp:anchor distT="0" distB="0" distL="114300" distR="114300" simplePos="0" relativeHeight="2" behindDoc="0" locked="0" layoutInCell="0" allowOverlap="1" wp14:anchorId="7E1BB04C" wp14:editId="7E1BB04D">
          <wp:simplePos x="0" y="0"/>
          <wp:positionH relativeFrom="margin">
            <wp:posOffset>0</wp:posOffset>
          </wp:positionH>
          <wp:positionV relativeFrom="page">
            <wp:posOffset>548005</wp:posOffset>
          </wp:positionV>
          <wp:extent cx="673100" cy="698500"/>
          <wp:effectExtent l="0" t="0" r="0" b="0"/>
          <wp:wrapTight wrapText="bothSides">
            <wp:wrapPolygon edited="0">
              <wp:start x="6171" y="0"/>
              <wp:lineTo x="-153" y="290"/>
              <wp:lineTo x="-153" y="17215"/>
              <wp:lineTo x="4320" y="20425"/>
              <wp:lineTo x="4937" y="20425"/>
              <wp:lineTo x="11725" y="20425"/>
              <wp:lineTo x="12960" y="20425"/>
              <wp:lineTo x="20365" y="17799"/>
              <wp:lineTo x="20365" y="6127"/>
              <wp:lineTo x="16662" y="1458"/>
              <wp:lineTo x="12960" y="0"/>
              <wp:lineTo x="6171"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673100" cy="698500"/>
                  </a:xfrm>
                  <a:prstGeom prst="rect">
                    <a:avLst/>
                  </a:prstGeom>
                </pic:spPr>
              </pic:pic>
            </a:graphicData>
          </a:graphic>
        </wp:anchor>
      </w:drawing>
    </w:r>
  </w:p>
  <w:p w14:paraId="7E1BB043" w14:textId="77777777" w:rsidR="0040425C" w:rsidRDefault="004C6958">
    <w:pPr>
      <w:pStyle w:val="NumProcesso"/>
      <w:spacing w:before="0" w:line="240" w:lineRule="auto"/>
      <w:ind w:left="1134" w:firstLine="0"/>
      <w:jc w:val="left"/>
      <w:rPr>
        <w:rFonts w:ascii="Arial" w:hAnsi="Arial" w:cs="Arial"/>
        <w:b w:val="0"/>
        <w:bCs w:val="0"/>
        <w:sz w:val="20"/>
        <w:szCs w:val="20"/>
      </w:rPr>
    </w:pPr>
    <w:r>
      <w:rPr>
        <w:rFonts w:ascii="Arial" w:hAnsi="Arial" w:cs="Arial"/>
        <w:b w:val="0"/>
        <w:bCs w:val="0"/>
        <w:sz w:val="20"/>
        <w:szCs w:val="20"/>
      </w:rPr>
      <w:t xml:space="preserve"> Poder Judiciário</w:t>
    </w:r>
  </w:p>
  <w:p w14:paraId="7E1BB044" w14:textId="77777777" w:rsidR="0040425C" w:rsidRDefault="004C6958">
    <w:pPr>
      <w:pStyle w:val="NumProcesso"/>
      <w:spacing w:before="0" w:line="240" w:lineRule="auto"/>
      <w:ind w:left="1134" w:firstLine="0"/>
      <w:jc w:val="left"/>
      <w:rPr>
        <w:rFonts w:ascii="Arial" w:hAnsi="Arial" w:cs="Arial"/>
        <w:b w:val="0"/>
        <w:bCs w:val="0"/>
        <w:sz w:val="20"/>
        <w:szCs w:val="20"/>
      </w:rPr>
    </w:pPr>
    <w:r>
      <w:rPr>
        <w:rFonts w:ascii="Arial" w:hAnsi="Arial" w:cs="Arial"/>
        <w:b w:val="0"/>
        <w:bCs w:val="0"/>
        <w:sz w:val="20"/>
        <w:szCs w:val="20"/>
      </w:rPr>
      <w:t xml:space="preserve"> Justiça do Trabalho</w:t>
    </w:r>
  </w:p>
  <w:p w14:paraId="7E1BB045" w14:textId="77777777" w:rsidR="0040425C" w:rsidRDefault="004C6958">
    <w:pPr>
      <w:pStyle w:val="NumProcesso"/>
      <w:spacing w:before="0" w:line="240" w:lineRule="auto"/>
      <w:ind w:left="1134" w:firstLine="0"/>
      <w:jc w:val="left"/>
      <w:rPr>
        <w:rFonts w:ascii="Arial" w:hAnsi="Arial" w:cs="Arial"/>
        <w:b w:val="0"/>
        <w:bCs w:val="0"/>
        <w:sz w:val="20"/>
        <w:szCs w:val="20"/>
      </w:rPr>
    </w:pPr>
    <w:r>
      <w:rPr>
        <w:rFonts w:ascii="Arial" w:hAnsi="Arial" w:cs="Arial"/>
        <w:b w:val="0"/>
        <w:bCs w:val="0"/>
        <w:sz w:val="20"/>
        <w:szCs w:val="20"/>
      </w:rPr>
      <w:t xml:space="preserve"> $</w:t>
    </w:r>
    <w:r>
      <w:rPr>
        <w:rFonts w:ascii="Arial" w:hAnsi="Arial" w:cs="Arial"/>
        <w:b w:val="0"/>
        <w:bCs w:val="0"/>
        <w:sz w:val="20"/>
        <w:szCs w:val="20"/>
      </w:rPr>
      <w:t>{SVNOMEORGAO}</w:t>
    </w:r>
  </w:p>
  <w:p w14:paraId="7E1BB046" w14:textId="77777777" w:rsidR="0040425C" w:rsidRDefault="0040425C">
    <w:pPr>
      <w:pStyle w:val="NumProcesso"/>
      <w:spacing w:before="0" w:line="240" w:lineRule="auto"/>
      <w:ind w:left="1134" w:firstLine="0"/>
      <w:jc w:val="left"/>
    </w:pPr>
  </w:p>
  <w:p w14:paraId="7E1BB047" w14:textId="77777777" w:rsidR="0040425C" w:rsidRDefault="0040425C">
    <w:pPr>
      <w:pStyle w:val="NumProcesso"/>
      <w:spacing w:before="0" w:line="240" w:lineRule="auto"/>
      <w:ind w:left="1134" w:firstLine="0"/>
      <w:jc w:val="left"/>
    </w:pPr>
  </w:p>
  <w:p w14:paraId="7E1BB048" w14:textId="77777777" w:rsidR="0040425C" w:rsidRDefault="0040425C">
    <w:pPr>
      <w:pStyle w:val="NumProcesso"/>
      <w:spacing w:before="0" w:line="240" w:lineRule="auto"/>
      <w:ind w:left="1134" w:firstLine="0"/>
      <w:jc w:val="left"/>
    </w:pPr>
  </w:p>
  <w:p w14:paraId="7E1BB049" w14:textId="77777777" w:rsidR="0040425C" w:rsidRDefault="0040425C">
    <w:pPr>
      <w:pStyle w:val="NumProcesso"/>
      <w:spacing w:before="0" w:line="240" w:lineRule="auto"/>
      <w:ind w:firstLine="2552"/>
    </w:pPr>
  </w:p>
  <w:p w14:paraId="7E1BB04A" w14:textId="77777777" w:rsidR="0040425C" w:rsidRDefault="004C6958">
    <w:pPr>
      <w:pStyle w:val="NumProcesso"/>
      <w:spacing w:before="0" w:line="240" w:lineRule="auto"/>
      <w:rPr>
        <w:color w:val="auto"/>
        <w:sz w:val="23"/>
        <w:szCs w:val="23"/>
      </w:rPr>
    </w:pPr>
    <w:r>
      <w:rPr>
        <w:color w:val="auto"/>
      </w:rPr>
      <w:t>PROCESSO Nº TST-AIRR - 0013135-89.2023.5.15.0015</w:t>
    </w:r>
  </w:p>
  <w:p w14:paraId="7E1BB04B" w14:textId="77777777" w:rsidR="0040425C" w:rsidRDefault="0040425C">
    <w:pPr>
      <w:pStyle w:val="NumProcesso"/>
      <w:spacing w:before="0" w:line="240" w:lineRule="auto"/>
      <w:rPr>
        <w:color w:val="auto"/>
        <w:sz w:val="23"/>
        <w:szCs w:val="23"/>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60"/>
  <w:embedSystemFonts/>
  <w:proofState w:spelling="clean" w:grammar="clean"/>
  <w:defaultTabStop w:val="720"/>
  <w:hyphenationZone w:val="425"/>
  <w:doNotHyphenateCap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25C"/>
    <w:rsid w:val="003B2B43"/>
    <w:rsid w:val="0040425C"/>
    <w:rsid w:val="004C6958"/>
    <w:rsid w:val="005C4641"/>
    <w:rsid w:val="00702AFD"/>
    <w:rsid w:val="00740856"/>
    <w:rsid w:val="008A728E"/>
    <w:rsid w:val="009A0511"/>
    <w:rsid w:val="009D315E"/>
    <w:rsid w:val="00AC2A9C"/>
    <w:rsid w:val="00C51122"/>
    <w:rsid w:val="00D03889"/>
    <w:rsid w:val="00EE2256"/>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E1BB01C"/>
  <w15:docId w15:val="{0286F10D-BB0E-4C22-BA95-2F4BE43DA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pt-BR" w:eastAsia="pt-B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60" w:lineRule="auto"/>
      <w:ind w:firstLine="2552"/>
      <w:jc w:val="both"/>
    </w:pPr>
    <w:rPr>
      <w:rFonts w:ascii="Open Sans" w:hAnsi="Open Sans"/>
      <w:sz w:val="24"/>
      <w:szCs w:val="24"/>
    </w:rPr>
  </w:style>
  <w:style w:type="paragraph" w:styleId="Ttulo1">
    <w:name w:val="heading 1"/>
    <w:basedOn w:val="Normal"/>
    <w:next w:val="Normal"/>
    <w:link w:val="Ttulo1Char"/>
    <w:uiPriority w:val="99"/>
    <w:qFormat/>
    <w:pPr>
      <w:keepNext/>
      <w:outlineLvl w:val="0"/>
    </w:pPr>
  </w:style>
  <w:style w:type="paragraph" w:styleId="Ttulo2">
    <w:name w:val="heading 2"/>
    <w:basedOn w:val="Normal"/>
    <w:next w:val="Normal"/>
    <w:link w:val="Ttulo2Char"/>
    <w:uiPriority w:val="99"/>
    <w:qFormat/>
    <w:pPr>
      <w:keepNext/>
      <w:outlineLvl w:val="1"/>
    </w:pPr>
    <w:rPr>
      <w:sz w:val="28"/>
      <w:szCs w:val="28"/>
    </w:rPr>
  </w:style>
  <w:style w:type="paragraph" w:styleId="Ttulo3">
    <w:name w:val="heading 3"/>
    <w:basedOn w:val="Normal"/>
    <w:next w:val="Normal"/>
    <w:link w:val="Ttulo3Char"/>
    <w:uiPriority w:val="99"/>
    <w:qFormat/>
    <w:pPr>
      <w:keepNext/>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qFormat/>
    <w:locked/>
    <w:rPr>
      <w:rFonts w:cs="Times New Roman"/>
      <w:b/>
      <w:bCs/>
      <w:kern w:val="2"/>
      <w:sz w:val="32"/>
      <w:szCs w:val="32"/>
    </w:rPr>
  </w:style>
  <w:style w:type="character" w:customStyle="1" w:styleId="Ttulo2Char">
    <w:name w:val="Título 2 Char"/>
    <w:basedOn w:val="Fontepargpadro"/>
    <w:link w:val="Ttulo2"/>
    <w:uiPriority w:val="99"/>
    <w:qFormat/>
    <w:locked/>
    <w:rPr>
      <w:rFonts w:cs="Times New Roman"/>
      <w:b/>
      <w:bCs/>
      <w:i/>
      <w:iCs/>
      <w:sz w:val="28"/>
      <w:szCs w:val="28"/>
    </w:rPr>
  </w:style>
  <w:style w:type="character" w:customStyle="1" w:styleId="Ttulo3Char">
    <w:name w:val="Título 3 Char"/>
    <w:basedOn w:val="Fontepargpadro"/>
    <w:link w:val="Ttulo3"/>
    <w:uiPriority w:val="99"/>
    <w:qFormat/>
    <w:locked/>
    <w:rPr>
      <w:rFonts w:cs="Times New Roman"/>
      <w:b/>
      <w:bCs/>
      <w:sz w:val="26"/>
      <w:szCs w:val="26"/>
    </w:rPr>
  </w:style>
  <w:style w:type="character" w:customStyle="1" w:styleId="TextodenotaderodapChar">
    <w:name w:val="Texto de nota de rodapé Char"/>
    <w:basedOn w:val="Fontepargpadro"/>
    <w:link w:val="Textodenotaderodap"/>
    <w:uiPriority w:val="99"/>
    <w:qFormat/>
    <w:locked/>
    <w:rPr>
      <w:rFonts w:ascii="Times New Roman" w:hAnsi="Times New Roman" w:cs="Times New Roman"/>
      <w:sz w:val="20"/>
      <w:szCs w:val="20"/>
    </w:rPr>
  </w:style>
  <w:style w:type="character" w:customStyle="1" w:styleId="FootnoteCharacters">
    <w:name w:val="Footnote Characters"/>
    <w:basedOn w:val="Fontepargpadro"/>
    <w:uiPriority w:val="99"/>
    <w:qFormat/>
    <w:rPr>
      <w:rFonts w:cs="Times New Roman"/>
      <w:vertAlign w:val="superscript"/>
    </w:rPr>
  </w:style>
  <w:style w:type="character" w:customStyle="1" w:styleId="Caracteresdenotaderodap">
    <w:name w:val="Caracteres de nota de rodapé"/>
    <w:qFormat/>
    <w:rPr>
      <w:rFonts w:cs="Times New Roman"/>
      <w:vertAlign w:val="superscript"/>
    </w:rPr>
  </w:style>
  <w:style w:type="character" w:customStyle="1" w:styleId="ncoradanotaderodap">
    <w:name w:val="Âncora da nota de rodapé"/>
    <w:rPr>
      <w:rFonts w:cs="Times New Roman"/>
      <w:vertAlign w:val="superscript"/>
    </w:rPr>
  </w:style>
  <w:style w:type="character" w:customStyle="1" w:styleId="CabealhoChar">
    <w:name w:val="Cabeçalho Char"/>
    <w:basedOn w:val="Fontepargpadro"/>
    <w:link w:val="Cabealho"/>
    <w:uiPriority w:val="99"/>
    <w:qFormat/>
    <w:locked/>
    <w:rPr>
      <w:rFonts w:ascii="Times New Roman" w:hAnsi="Times New Roman" w:cs="Times New Roman"/>
      <w:sz w:val="24"/>
      <w:szCs w:val="24"/>
    </w:rPr>
  </w:style>
  <w:style w:type="character" w:customStyle="1" w:styleId="RodapChar">
    <w:name w:val="Rodapé Char"/>
    <w:basedOn w:val="Fontepargpadro"/>
    <w:link w:val="Rodap"/>
    <w:uiPriority w:val="99"/>
    <w:qFormat/>
    <w:locked/>
    <w:rPr>
      <w:rFonts w:ascii="Open Sans" w:hAnsi="Open Sans"/>
      <w:sz w:val="20"/>
      <w:szCs w:val="24"/>
    </w:rPr>
  </w:style>
  <w:style w:type="character" w:customStyle="1" w:styleId="MapadoDocumentoChar">
    <w:name w:val="Mapa do Documento Char"/>
    <w:basedOn w:val="Fontepargpadro"/>
    <w:link w:val="MapadoDocumento"/>
    <w:uiPriority w:val="99"/>
    <w:qFormat/>
    <w:locked/>
    <w:rPr>
      <w:rFonts w:ascii="Tahoma" w:hAnsi="Tahoma" w:cs="Tahoma"/>
      <w:sz w:val="16"/>
      <w:szCs w:val="16"/>
    </w:rPr>
  </w:style>
  <w:style w:type="character" w:customStyle="1" w:styleId="DataChar">
    <w:name w:val="Data Char"/>
    <w:basedOn w:val="Fontepargpadro"/>
    <w:link w:val="Data"/>
    <w:uiPriority w:val="99"/>
    <w:qFormat/>
    <w:locked/>
    <w:rPr>
      <w:rFonts w:ascii="Open Sans" w:hAnsi="Open Sans" w:cs="Courier New"/>
      <w:color w:val="000000"/>
      <w:sz w:val="24"/>
      <w:szCs w:val="24"/>
    </w:rPr>
  </w:style>
  <w:style w:type="character" w:styleId="Nmerodepgina">
    <w:name w:val="page number"/>
    <w:basedOn w:val="Fontepargpadro"/>
    <w:uiPriority w:val="99"/>
    <w:qFormat/>
    <w:rPr>
      <w:rFonts w:cs="Times New Roman"/>
      <w:lang w:val="pt-BR" w:eastAsia="x-none"/>
    </w:rPr>
  </w:style>
  <w:style w:type="character" w:customStyle="1" w:styleId="CitaoChar">
    <w:name w:val="Citação Char"/>
    <w:basedOn w:val="Fontepargpadro"/>
    <w:link w:val="Citao"/>
    <w:uiPriority w:val="29"/>
    <w:qFormat/>
    <w:locked/>
    <w:rPr>
      <w:rFonts w:ascii="Times New Roman" w:hAnsi="Times New Roman" w:cs="Times New Roman"/>
      <w:i/>
      <w:iCs/>
      <w:color w:val="000000" w:themeColor="text1"/>
      <w:sz w:val="24"/>
      <w:szCs w:val="24"/>
    </w:rPr>
  </w:style>
  <w:style w:type="character" w:customStyle="1" w:styleId="CitaoIntensaChar">
    <w:name w:val="Citação Intensa Char"/>
    <w:basedOn w:val="Fontepargpadro"/>
    <w:link w:val="CitaoIntensa"/>
    <w:uiPriority w:val="30"/>
    <w:qFormat/>
    <w:locked/>
    <w:rPr>
      <w:rFonts w:ascii="Times New Roman" w:hAnsi="Times New Roman" w:cs="Times New Roman"/>
      <w:b/>
      <w:bCs/>
      <w:i/>
      <w:iCs/>
      <w:color w:val="4F81BD" w:themeColor="accent1"/>
      <w:sz w:val="24"/>
      <w:szCs w:val="24"/>
    </w:rPr>
  </w:style>
  <w:style w:type="character" w:styleId="TextodoEspaoReservado">
    <w:name w:val="Placeholder Text"/>
    <w:basedOn w:val="Fontepargpadro"/>
    <w:uiPriority w:val="99"/>
    <w:semiHidden/>
    <w:qFormat/>
    <w:rPr>
      <w:color w:val="808080"/>
    </w:rPr>
  </w:style>
  <w:style w:type="character" w:customStyle="1" w:styleId="TextodebaloChar">
    <w:name w:val="Texto de balão Char"/>
    <w:basedOn w:val="Fontepargpadro"/>
    <w:link w:val="Textodebalo"/>
    <w:uiPriority w:val="99"/>
    <w:semiHidden/>
    <w:qFormat/>
    <w:rPr>
      <w:rFonts w:ascii="Tahoma" w:hAnsi="Tahoma" w:cs="Tahoma"/>
      <w:sz w:val="16"/>
      <w:szCs w:val="16"/>
    </w:rPr>
  </w:style>
  <w:style w:type="character" w:customStyle="1" w:styleId="CorpoChar">
    <w:name w:val="Corpo Char"/>
    <w:basedOn w:val="Fontepargpadro"/>
    <w:link w:val="Corpo"/>
    <w:uiPriority w:val="99"/>
    <w:qFormat/>
    <w:rPr>
      <w:rFonts w:ascii="Open Sans" w:hAnsi="Open Sans" w:cs="Courier New"/>
      <w:color w:val="000000"/>
      <w:sz w:val="24"/>
      <w:szCs w:val="24"/>
    </w:rPr>
  </w:style>
  <w:style w:type="character" w:customStyle="1" w:styleId="Transcrio2Char">
    <w:name w:val="Transcrição 2 Char"/>
    <w:basedOn w:val="CorpoChar"/>
    <w:link w:val="Transcrio2"/>
    <w:uiPriority w:val="99"/>
    <w:qFormat/>
    <w:rPr>
      <w:rFonts w:ascii="Open Sans" w:hAnsi="Open Sans" w:cs="Courier New"/>
      <w:color w:val="000000"/>
      <w:sz w:val="20"/>
      <w:szCs w:val="24"/>
    </w:rPr>
  </w:style>
  <w:style w:type="character" w:customStyle="1" w:styleId="Transcrio3Char">
    <w:name w:val="Transcrição 3 Char"/>
    <w:basedOn w:val="Transcrio2Char"/>
    <w:link w:val="Transcrio3"/>
    <w:qFormat/>
    <w:rPr>
      <w:rFonts w:ascii="Open Sans" w:hAnsi="Open Sans" w:cs="Courier New"/>
      <w:color w:val="000000"/>
      <w:sz w:val="20"/>
      <w:szCs w:val="24"/>
    </w:rPr>
  </w:style>
  <w:style w:type="paragraph" w:customStyle="1" w:styleId="Ttulo10">
    <w:name w:val="Título1"/>
    <w:basedOn w:val="Normal"/>
    <w:next w:val="Corpodetexto"/>
    <w:qFormat/>
    <w:pPr>
      <w:keepNext/>
      <w:spacing w:before="240" w:after="120"/>
    </w:pPr>
    <w:rPr>
      <w:rFonts w:ascii="Liberation Sans" w:eastAsia="Noto Sans CJK SC"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rPr>
  </w:style>
  <w:style w:type="paragraph" w:customStyle="1" w:styleId="ndice">
    <w:name w:val="Índice"/>
    <w:basedOn w:val="Normal"/>
    <w:qFormat/>
    <w:pPr>
      <w:suppressLineNumbers/>
    </w:pPr>
    <w:rPr>
      <w:rFonts w:cs="Lohit Devanagari"/>
    </w:rPr>
  </w:style>
  <w:style w:type="paragraph" w:customStyle="1" w:styleId="Corpo">
    <w:name w:val="Corpo"/>
    <w:link w:val="CorpoChar"/>
    <w:uiPriority w:val="99"/>
    <w:qFormat/>
    <w:pPr>
      <w:spacing w:line="360" w:lineRule="atLeast"/>
      <w:ind w:firstLine="2551"/>
      <w:jc w:val="both"/>
    </w:pPr>
    <w:rPr>
      <w:rFonts w:ascii="Open Sans" w:hAnsi="Open Sans" w:cs="Courier New"/>
      <w:color w:val="000000"/>
      <w:sz w:val="24"/>
      <w:szCs w:val="24"/>
    </w:rPr>
  </w:style>
  <w:style w:type="paragraph" w:customStyle="1" w:styleId="Identificao">
    <w:name w:val="Identificação"/>
    <w:basedOn w:val="Corpo"/>
    <w:uiPriority w:val="99"/>
    <w:qFormat/>
    <w:pPr>
      <w:spacing w:line="240" w:lineRule="auto"/>
      <w:ind w:firstLine="0"/>
    </w:pPr>
  </w:style>
  <w:style w:type="paragraph" w:customStyle="1" w:styleId="Ementa">
    <w:name w:val="Ementa"/>
    <w:basedOn w:val="Corpo"/>
    <w:uiPriority w:val="99"/>
    <w:qFormat/>
    <w:pPr>
      <w:spacing w:line="240" w:lineRule="auto"/>
      <w:ind w:left="4536" w:firstLine="0"/>
    </w:pPr>
  </w:style>
  <w:style w:type="paragraph" w:customStyle="1" w:styleId="Autoridade">
    <w:name w:val="Autoridade"/>
    <w:basedOn w:val="Corpo"/>
    <w:uiPriority w:val="99"/>
    <w:qFormat/>
    <w:pPr>
      <w:ind w:left="1871" w:right="1871" w:firstLine="0"/>
      <w:jc w:val="center"/>
    </w:pPr>
    <w:rPr>
      <w:b/>
      <w:bCs/>
      <w:caps/>
    </w:rPr>
  </w:style>
  <w:style w:type="paragraph" w:customStyle="1" w:styleId="Funo">
    <w:name w:val="Função"/>
    <w:basedOn w:val="Corpo"/>
    <w:uiPriority w:val="99"/>
    <w:qFormat/>
    <w:pPr>
      <w:spacing w:line="360" w:lineRule="auto"/>
      <w:ind w:left="1871" w:right="1871" w:firstLine="0"/>
      <w:jc w:val="center"/>
    </w:pPr>
    <w:rPr>
      <w:b/>
      <w:bCs/>
      <w:sz w:val="20"/>
      <w:szCs w:val="20"/>
    </w:rPr>
  </w:style>
  <w:style w:type="paragraph" w:styleId="Textodenotaderodap">
    <w:name w:val="footnote text"/>
    <w:basedOn w:val="Normal"/>
    <w:link w:val="TextodenotaderodapChar"/>
    <w:uiPriority w:val="99"/>
  </w:style>
  <w:style w:type="paragraph" w:customStyle="1" w:styleId="CabealhoeRodap">
    <w:name w:val="Cabeçalho e Rodapé"/>
    <w:basedOn w:val="Normal"/>
    <w:qFormat/>
  </w:style>
  <w:style w:type="paragraph" w:styleId="Cabealho">
    <w:name w:val="header"/>
    <w:basedOn w:val="Normal"/>
    <w:link w:val="CabealhoChar"/>
    <w:uiPriority w:val="99"/>
    <w:pPr>
      <w:tabs>
        <w:tab w:val="center" w:pos="4153"/>
        <w:tab w:val="right" w:pos="8306"/>
      </w:tabs>
      <w:jc w:val="right"/>
    </w:pPr>
  </w:style>
  <w:style w:type="paragraph" w:styleId="Rodap">
    <w:name w:val="footer"/>
    <w:basedOn w:val="Normal"/>
    <w:link w:val="RodapChar"/>
    <w:uiPriority w:val="99"/>
    <w:pPr>
      <w:tabs>
        <w:tab w:val="center" w:pos="4153"/>
        <w:tab w:val="right" w:pos="8306"/>
      </w:tabs>
    </w:pPr>
    <w:rPr>
      <w:sz w:val="20"/>
    </w:rPr>
  </w:style>
  <w:style w:type="paragraph" w:customStyle="1" w:styleId="NumProcesso">
    <w:name w:val="Num.Processo"/>
    <w:basedOn w:val="Corpo"/>
    <w:uiPriority w:val="99"/>
    <w:qFormat/>
    <w:pPr>
      <w:spacing w:before="170"/>
      <w:jc w:val="right"/>
    </w:pPr>
    <w:rPr>
      <w:b/>
      <w:bCs/>
    </w:rPr>
  </w:style>
  <w:style w:type="paragraph" w:styleId="MapadoDocumento">
    <w:name w:val="Document Map"/>
    <w:basedOn w:val="Normal"/>
    <w:link w:val="MapadoDocumentoChar"/>
    <w:uiPriority w:val="99"/>
    <w:qFormat/>
    <w:pPr>
      <w:shd w:val="clear" w:color="auto" w:fill="000080"/>
    </w:pPr>
    <w:rPr>
      <w:rFonts w:ascii="Tahoma" w:hAnsi="Tahoma" w:cs="Tahoma"/>
    </w:rPr>
  </w:style>
  <w:style w:type="paragraph" w:styleId="Data">
    <w:name w:val="Date"/>
    <w:basedOn w:val="Corpo"/>
    <w:next w:val="Corpo"/>
    <w:link w:val="DataChar"/>
    <w:uiPriority w:val="99"/>
    <w:qFormat/>
    <w:pPr>
      <w:ind w:firstLine="2552"/>
    </w:pPr>
  </w:style>
  <w:style w:type="paragraph" w:customStyle="1" w:styleId="Transcrio">
    <w:name w:val="Transcrição"/>
    <w:basedOn w:val="Corpo"/>
    <w:uiPriority w:val="99"/>
    <w:qFormat/>
    <w:pPr>
      <w:spacing w:line="240" w:lineRule="auto"/>
      <w:ind w:left="2552" w:firstLine="567"/>
    </w:pPr>
    <w:rPr>
      <w:rFonts w:cs="Times New Roman"/>
      <w:sz w:val="20"/>
    </w:rPr>
  </w:style>
  <w:style w:type="paragraph" w:customStyle="1" w:styleId="Transcrio2">
    <w:name w:val="Transcrição 2"/>
    <w:basedOn w:val="Corpo"/>
    <w:link w:val="Transcrio2Char"/>
    <w:uiPriority w:val="99"/>
    <w:qFormat/>
    <w:pPr>
      <w:spacing w:line="240" w:lineRule="auto"/>
      <w:ind w:left="3686" w:firstLine="567"/>
    </w:pPr>
    <w:rPr>
      <w:rFonts w:cs="Times New Roman"/>
      <w:sz w:val="20"/>
    </w:rPr>
  </w:style>
  <w:style w:type="paragraph" w:customStyle="1" w:styleId="CorreJunto">
    <w:name w:val="Corre Junto"/>
    <w:basedOn w:val="NumProcesso"/>
    <w:uiPriority w:val="99"/>
    <w:qFormat/>
  </w:style>
  <w:style w:type="paragraph" w:customStyle="1" w:styleId="Relatrio">
    <w:name w:val="Relatório"/>
    <w:basedOn w:val="Corpo"/>
    <w:next w:val="Corpo"/>
    <w:uiPriority w:val="99"/>
    <w:qFormat/>
  </w:style>
  <w:style w:type="paragraph" w:customStyle="1" w:styleId="Voto">
    <w:name w:val="Voto"/>
    <w:basedOn w:val="Corpo"/>
    <w:next w:val="Corpo"/>
    <w:uiPriority w:val="99"/>
    <w:qFormat/>
  </w:style>
  <w:style w:type="paragraph" w:customStyle="1" w:styleId="IstoPosto">
    <w:name w:val="Isto Posto"/>
    <w:basedOn w:val="Corpo"/>
    <w:next w:val="Corpo"/>
    <w:uiPriority w:val="99"/>
    <w:qFormat/>
  </w:style>
  <w:style w:type="paragraph" w:customStyle="1" w:styleId="Tema">
    <w:name w:val="Tema"/>
    <w:basedOn w:val="Corpo"/>
    <w:next w:val="Corpo"/>
    <w:uiPriority w:val="99"/>
    <w:qFormat/>
    <w:rPr>
      <w:b/>
      <w:bCs/>
    </w:rPr>
  </w:style>
  <w:style w:type="paragraph" w:styleId="Citao">
    <w:name w:val="Quote"/>
    <w:basedOn w:val="Normal"/>
    <w:next w:val="Normal"/>
    <w:link w:val="CitaoChar"/>
    <w:uiPriority w:val="29"/>
    <w:qFormat/>
    <w:rPr>
      <w:i/>
      <w:iCs/>
      <w:color w:val="000000" w:themeColor="text1"/>
    </w:rPr>
  </w:style>
  <w:style w:type="paragraph" w:styleId="CitaoIntensa">
    <w:name w:val="Intense Quote"/>
    <w:basedOn w:val="Normal"/>
    <w:next w:val="Normal"/>
    <w:link w:val="CitaoIntensaChar"/>
    <w:uiPriority w:val="30"/>
    <w:qFormat/>
    <w:pPr>
      <w:pBdr>
        <w:bottom w:val="single" w:sz="4" w:space="4" w:color="4F81BD"/>
      </w:pBdr>
      <w:spacing w:before="200" w:after="280"/>
      <w:ind w:left="936" w:right="936"/>
    </w:pPr>
    <w:rPr>
      <w:b/>
      <w:bCs/>
      <w:i/>
      <w:iCs/>
      <w:color w:val="4F81BD" w:themeColor="accent1"/>
    </w:rPr>
  </w:style>
  <w:style w:type="paragraph" w:styleId="Textodebalo">
    <w:name w:val="Balloon Text"/>
    <w:basedOn w:val="Normal"/>
    <w:link w:val="TextodebaloChar"/>
    <w:uiPriority w:val="99"/>
    <w:semiHidden/>
    <w:unhideWhenUsed/>
    <w:qFormat/>
    <w:pPr>
      <w:spacing w:line="240" w:lineRule="auto"/>
    </w:pPr>
    <w:rPr>
      <w:rFonts w:ascii="Tahoma" w:hAnsi="Tahoma" w:cs="Tahoma"/>
      <w:sz w:val="16"/>
      <w:szCs w:val="16"/>
    </w:rPr>
  </w:style>
  <w:style w:type="paragraph" w:customStyle="1" w:styleId="Default">
    <w:name w:val="Default"/>
    <w:qFormat/>
    <w:rPr>
      <w:rFonts w:ascii="Courier New" w:hAnsi="Courier New" w:cs="Courier New"/>
      <w:color w:val="000000"/>
      <w:sz w:val="24"/>
      <w:szCs w:val="24"/>
    </w:rPr>
  </w:style>
  <w:style w:type="paragraph" w:styleId="SemEspaamento">
    <w:name w:val="No Spacing"/>
    <w:uiPriority w:val="1"/>
    <w:qFormat/>
    <w:pPr>
      <w:ind w:firstLine="2552"/>
      <w:jc w:val="both"/>
    </w:pPr>
    <w:rPr>
      <w:rFonts w:ascii="Times New Roman" w:hAnsi="Times New Roman"/>
      <w:sz w:val="24"/>
      <w:szCs w:val="24"/>
    </w:rPr>
  </w:style>
  <w:style w:type="paragraph" w:customStyle="1" w:styleId="Transcrio3">
    <w:name w:val="Transcrição 3"/>
    <w:basedOn w:val="Transcrio2"/>
    <w:link w:val="Transcrio3Char"/>
    <w:qFormat/>
    <w:pPr>
      <w:ind w:left="4253"/>
    </w:pPr>
  </w:style>
  <w:style w:type="paragraph" w:customStyle="1" w:styleId="corpo-000011">
    <w:name w:val="corpo-000011"/>
    <w:basedOn w:val="Normal"/>
    <w:pPr>
      <w:suppressAutoHyphens w:val="0"/>
      <w:spacing w:before="100" w:beforeAutospacing="1" w:after="100" w:afterAutospacing="1" w:line="240" w:lineRule="auto"/>
      <w:ind w:firstLine="0"/>
      <w:jc w:val="left"/>
    </w:pPr>
    <w:rPr>
      <w:rFonts w:ascii="Times New Roman" w:eastAsia="Times New Roman" w:hAnsi="Times New Roman"/>
    </w:rPr>
  </w:style>
  <w:style w:type="character" w:customStyle="1" w:styleId="fontepargpadro-000013">
    <w:name w:val="fontepargpadro-000013"/>
    <w:basedOn w:val="Fontepargpadro"/>
  </w:style>
  <w:style w:type="character" w:customStyle="1" w:styleId="fontepargpadro-000020">
    <w:name w:val="fontepargpadro-000020"/>
    <w:basedOn w:val="Fontepargpadro"/>
  </w:style>
  <w:style w:type="character" w:customStyle="1" w:styleId="fontepargpadro-000019">
    <w:name w:val="fontepargpadro-000019"/>
    <w:basedOn w:val="Fontepargpadro"/>
  </w:style>
  <w:style w:type="character" w:customStyle="1" w:styleId="fontepargpadro-000021">
    <w:name w:val="fontepargpadro-000021"/>
    <w:basedOn w:val="Fontepargpadro"/>
  </w:style>
  <w:style w:type="character" w:customStyle="1" w:styleId="fontepargpadro-000010">
    <w:name w:val="fontepargpadro-000010"/>
    <w:basedOn w:val="Fontepargpadro"/>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466143">
      <w:bodyDiv w:val="1"/>
      <w:marLeft w:val="0"/>
      <w:marRight w:val="0"/>
      <w:marTop w:val="0"/>
      <w:marBottom w:val="0"/>
      <w:divBdr>
        <w:top w:val="none" w:sz="0" w:space="0" w:color="auto"/>
        <w:left w:val="none" w:sz="0" w:space="0" w:color="auto"/>
        <w:bottom w:val="none" w:sz="0" w:space="0" w:color="auto"/>
        <w:right w:val="none" w:sz="0" w:space="0" w:color="auto"/>
      </w:divBdr>
    </w:div>
    <w:div w:id="625354377">
      <w:bodyDiv w:val="1"/>
      <w:marLeft w:val="0"/>
      <w:marRight w:val="0"/>
      <w:marTop w:val="0"/>
      <w:marBottom w:val="0"/>
      <w:divBdr>
        <w:top w:val="none" w:sz="0" w:space="0" w:color="auto"/>
        <w:left w:val="none" w:sz="0" w:space="0" w:color="auto"/>
        <w:bottom w:val="none" w:sz="0" w:space="0" w:color="auto"/>
        <w:right w:val="none" w:sz="0" w:space="0" w:color="auto"/>
      </w:divBdr>
    </w:div>
    <w:div w:id="706225269">
      <w:bodyDiv w:val="1"/>
      <w:marLeft w:val="0"/>
      <w:marRight w:val="0"/>
      <w:marTop w:val="0"/>
      <w:marBottom w:val="0"/>
      <w:divBdr>
        <w:top w:val="none" w:sz="0" w:space="0" w:color="auto"/>
        <w:left w:val="none" w:sz="0" w:space="0" w:color="auto"/>
        <w:bottom w:val="none" w:sz="0" w:space="0" w:color="auto"/>
        <w:right w:val="none" w:sz="0" w:space="0" w:color="auto"/>
      </w:divBdr>
    </w:div>
    <w:div w:id="1368407081">
      <w:bodyDiv w:val="1"/>
      <w:marLeft w:val="0"/>
      <w:marRight w:val="0"/>
      <w:marTop w:val="0"/>
      <w:marBottom w:val="0"/>
      <w:divBdr>
        <w:top w:val="none" w:sz="0" w:space="0" w:color="auto"/>
        <w:left w:val="none" w:sz="0" w:space="0" w:color="auto"/>
        <w:bottom w:val="none" w:sz="0" w:space="0" w:color="auto"/>
        <w:right w:val="none" w:sz="0" w:space="0" w:color="auto"/>
      </w:divBdr>
    </w:div>
    <w:div w:id="1472555088">
      <w:bodyDiv w:val="1"/>
      <w:marLeft w:val="0"/>
      <w:marRight w:val="0"/>
      <w:marTop w:val="0"/>
      <w:marBottom w:val="0"/>
      <w:divBdr>
        <w:top w:val="none" w:sz="0" w:space="0" w:color="auto"/>
        <w:left w:val="none" w:sz="0" w:space="0" w:color="auto"/>
        <w:bottom w:val="none" w:sz="0" w:space="0" w:color="auto"/>
        <w:right w:val="none" w:sz="0" w:space="0" w:color="auto"/>
      </w:divBdr>
    </w:div>
    <w:div w:id="1566060994">
      <w:bodyDiv w:val="1"/>
      <w:marLeft w:val="0"/>
      <w:marRight w:val="0"/>
      <w:marTop w:val="0"/>
      <w:marBottom w:val="0"/>
      <w:divBdr>
        <w:top w:val="none" w:sz="0" w:space="0" w:color="auto"/>
        <w:left w:val="none" w:sz="0" w:space="0" w:color="auto"/>
        <w:bottom w:val="none" w:sz="0" w:space="0" w:color="auto"/>
        <w:right w:val="none" w:sz="0" w:space="0" w:color="auto"/>
      </w:divBdr>
    </w:div>
    <w:div w:id="16264964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dr="http://schemas.openxmlformats.org/drawingml/2006/chartDrawing" xmlns:c="http://schemas.openxmlformats.org/drawingml/2006/chart"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94CCF59B-9D3C-45F8-8915-3942C92E3BDB}">
  <ds:schemaRefs>
    <ds:schemaRef ds:uri="http://schemas.openxmlformats.org/officeDocument/2006/bibliography"/>
    <ds:schemaRef ds:uri="http://schemas.openxmlformats.org/wordprocessingml/2006/main"/>
    <ds:schemaRef ds:uri="http://schemas.microsoft.com/office/word/2012/wordml"/>
    <ds:schemaRef ds:uri="http://schemas.microsoft.com/office/word/2010/wordml"/>
    <ds:schemaRef ds:uri="http://schemas.openxmlformats.org/officeDocument/2006/relationships"/>
    <ds:schemaRef ds:uri="http://schemas.openxmlformats.org/officeDocument/2006/math"/>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Drawing"/>
    <ds:schemaRef ds:uri="http://schemas.openxmlformats.org/drawingml/2006/chart"/>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4086</Words>
  <Characters>22069</Characters>
  <Application>Microsoft Office Word</Application>
  <DocSecurity>0</DocSecurity>
  <Lines>183</Lines>
  <Paragraphs>52</Paragraphs>
  <ScaleCrop>false</ScaleCrop>
  <HeadingPairs>
    <vt:vector size="2" baseType="variant">
      <vt:variant>
        <vt:lpstr>Título</vt:lpstr>
      </vt:variant>
      <vt:variant>
        <vt:i4>1</vt:i4>
      </vt:variant>
    </vt:vector>
  </HeadingPairs>
  <TitlesOfParts>
    <vt:vector size="1" baseType="lpstr">
      <vt:lpstr>A C Ó R D Ã O</vt:lpstr>
    </vt:vector>
  </TitlesOfParts>
  <Company>TST</Company>
  <LinksUpToDate>false</LinksUpToDate>
  <CharactersWithSpaces>26103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 Ó R D Ã O</dc:title>
  <dc:subject/>
  <dc:creator>C031212</dc:creator>
  <dc:description/>
  <cp:lastModifiedBy>felipe bezerra cavalcanti</cp:lastModifiedBy>
  <cp:revision>2</cp:revision>
  <dcterms:created xsi:type="dcterms:W3CDTF">2026-03-27T18:03:00Z</dcterms:created>
  <dcterms:modified xsi:type="dcterms:W3CDTF">2026-03-27T18:03:00Z</dcterms:modified>
  <dc:language>pt-BR</dc:language>
</cp:coreProperties>
</file>